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08650" w14:textId="564F2D86" w:rsidR="00300F84" w:rsidRPr="0067209A" w:rsidRDefault="00C9378A" w:rsidP="00300F84">
      <w:pPr>
        <w:tabs>
          <w:tab w:val="right" w:pos="9638"/>
        </w:tabs>
        <w:rPr>
          <w:rFonts w:ascii="Arial" w:hAnsi="Arial" w:cs="Arial"/>
          <w:b/>
          <w:bCs/>
          <w:sz w:val="24"/>
          <w:szCs w:val="24"/>
          <w:lang w:eastAsia="zh-CN"/>
        </w:rPr>
      </w:pPr>
      <w:r>
        <w:rPr>
          <w:rFonts w:ascii="Arial" w:hAnsi="Arial" w:cs="Arial"/>
          <w:b/>
          <w:bCs/>
          <w:sz w:val="24"/>
          <w:szCs w:val="24"/>
        </w:rPr>
        <w:t xml:space="preserve">TSG </w:t>
      </w:r>
      <w:r w:rsidR="008D77CB">
        <w:rPr>
          <w:rFonts w:ascii="Arial" w:hAnsi="Arial" w:cs="Arial"/>
          <w:b/>
          <w:bCs/>
          <w:sz w:val="24"/>
          <w:szCs w:val="24"/>
        </w:rPr>
        <w:t>RAN</w:t>
      </w:r>
      <w:r>
        <w:rPr>
          <w:rFonts w:ascii="Arial" w:hAnsi="Arial" w:cs="Arial"/>
          <w:b/>
          <w:bCs/>
          <w:sz w:val="24"/>
          <w:szCs w:val="24"/>
        </w:rPr>
        <w:t xml:space="preserve"> </w:t>
      </w:r>
      <w:r w:rsidR="00300F84" w:rsidRPr="00F76B76">
        <w:rPr>
          <w:rFonts w:ascii="Arial" w:hAnsi="Arial" w:cs="Arial"/>
          <w:b/>
          <w:bCs/>
          <w:sz w:val="24"/>
          <w:szCs w:val="24"/>
        </w:rPr>
        <w:t>Meeting #</w:t>
      </w:r>
      <w:r w:rsidR="008D77CB">
        <w:rPr>
          <w:rFonts w:ascii="Arial" w:hAnsi="Arial" w:cs="Arial"/>
          <w:b/>
          <w:bCs/>
          <w:sz w:val="24"/>
          <w:szCs w:val="24"/>
        </w:rPr>
        <w:t>83</w:t>
      </w:r>
      <w:r w:rsidR="00300F84" w:rsidRPr="00F76B76">
        <w:rPr>
          <w:rFonts w:ascii="Arial" w:hAnsi="Arial" w:cs="Arial"/>
          <w:b/>
          <w:bCs/>
          <w:sz w:val="24"/>
          <w:szCs w:val="24"/>
        </w:rPr>
        <w:tab/>
      </w:r>
      <w:r w:rsidR="00FC3656" w:rsidRPr="00FC3656">
        <w:rPr>
          <w:rFonts w:ascii="Arial" w:hAnsi="Arial" w:cs="Arial"/>
          <w:b/>
          <w:bCs/>
          <w:sz w:val="24"/>
          <w:szCs w:val="24"/>
        </w:rPr>
        <w:t>SP-190204</w:t>
      </w:r>
    </w:p>
    <w:p w14:paraId="5E4D8A38" w14:textId="07577753" w:rsidR="00300F84" w:rsidRPr="00F76B76" w:rsidRDefault="00AA2447"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20</w:t>
      </w:r>
      <w:r w:rsidR="00C9378A">
        <w:rPr>
          <w:rFonts w:ascii="Arial" w:hAnsi="Arial" w:cs="Arial"/>
          <w:b/>
          <w:bCs/>
          <w:sz w:val="24"/>
          <w:szCs w:val="24"/>
          <w:lang w:eastAsia="zh-CN"/>
        </w:rPr>
        <w:t>-2</w:t>
      </w:r>
      <w:r>
        <w:rPr>
          <w:rFonts w:ascii="Arial" w:hAnsi="Arial" w:cs="Arial"/>
          <w:b/>
          <w:bCs/>
          <w:sz w:val="24"/>
          <w:szCs w:val="24"/>
          <w:lang w:eastAsia="zh-CN"/>
        </w:rPr>
        <w:t>2</w:t>
      </w:r>
      <w:r w:rsidR="00C9378A">
        <w:rPr>
          <w:rFonts w:ascii="Arial" w:hAnsi="Arial" w:cs="Arial"/>
          <w:b/>
          <w:bCs/>
          <w:sz w:val="24"/>
          <w:szCs w:val="24"/>
          <w:lang w:eastAsia="zh-CN"/>
        </w:rPr>
        <w:t xml:space="preserve"> March 2019, Shenzhen, China</w:t>
      </w:r>
      <w:r w:rsidR="00300F84" w:rsidRPr="00F76B76">
        <w:rPr>
          <w:rFonts w:ascii="Arial" w:hAnsi="Arial" w:cs="Arial"/>
          <w:b/>
          <w:bCs/>
        </w:rPr>
        <w:tab/>
      </w:r>
    </w:p>
    <w:p w14:paraId="5FBC7A68" w14:textId="243C7C36"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sidR="005A765B">
        <w:rPr>
          <w:rFonts w:ascii="Arial" w:hAnsi="Arial" w:cs="Arial"/>
          <w:b/>
          <w:lang w:val="de-AT"/>
        </w:rPr>
        <w:t>Nokia, Nokia Shanghai Bell</w:t>
      </w:r>
      <w:bookmarkStart w:id="0" w:name="_GoBack"/>
      <w:bookmarkEnd w:id="0"/>
    </w:p>
    <w:p w14:paraId="5CB0CF7B" w14:textId="1D8B0027"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67209A" w:rsidRPr="0067209A">
        <w:rPr>
          <w:rFonts w:ascii="Arial" w:hAnsi="Arial" w:cs="Arial"/>
          <w:b/>
        </w:rPr>
        <w:t>Discussion on LS on EPS Additional RRM Policy Index</w:t>
      </w:r>
      <w:r w:rsidR="00D06FD6">
        <w:rPr>
          <w:rFonts w:ascii="Arial" w:hAnsi="Arial" w:cs="Arial"/>
          <w:b/>
        </w:rPr>
        <w:t xml:space="preserve"> </w:t>
      </w:r>
    </w:p>
    <w:p w14:paraId="06148A83" w14:textId="13554209"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00AD6EC3">
        <w:rPr>
          <w:rFonts w:ascii="Arial" w:hAnsi="Arial" w:cs="Arial"/>
          <w:b/>
        </w:rPr>
        <w:t>Discussion</w:t>
      </w:r>
      <w:r w:rsidR="0067209A">
        <w:rPr>
          <w:rFonts w:ascii="Arial" w:hAnsi="Arial" w:cs="Arial"/>
          <w:b/>
        </w:rPr>
        <w:t xml:space="preserve"> and Decision</w:t>
      </w:r>
    </w:p>
    <w:p w14:paraId="5D127B7C" w14:textId="1B042B0A"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r>
      <w:r w:rsidR="008E73BC">
        <w:rPr>
          <w:rFonts w:ascii="Arial" w:hAnsi="Arial" w:cs="Arial"/>
          <w:b/>
        </w:rPr>
        <w:t>6</w:t>
      </w:r>
    </w:p>
    <w:p w14:paraId="462852E5" w14:textId="335AB115" w:rsidR="00300F84" w:rsidRPr="00AF541C" w:rsidRDefault="00300F84" w:rsidP="00300F84">
      <w:pPr>
        <w:pStyle w:val="Heading1"/>
      </w:pPr>
      <w:r w:rsidRPr="00AF541C">
        <w:t xml:space="preserve">1 </w:t>
      </w:r>
      <w:r w:rsidR="00AD6EC3">
        <w:t>Discussion</w:t>
      </w:r>
    </w:p>
    <w:p w14:paraId="6DF0ADD5" w14:textId="43D6E8AA" w:rsidR="003D0B5C" w:rsidRPr="000A7C0C" w:rsidRDefault="00FC3656" w:rsidP="005125A2">
      <w:hyperlink r:id="rId8" w:history="1">
        <w:r w:rsidR="004D5922" w:rsidRPr="000A7C0C">
          <w:rPr>
            <w:rStyle w:val="Hyperlink"/>
            <w:rFonts w:ascii="Times New Roman" w:hAnsi="Times New Roman"/>
            <w:szCs w:val="18"/>
          </w:rPr>
          <w:t>S2-1901970</w:t>
        </w:r>
      </w:hyperlink>
      <w:r w:rsidR="004D5922" w:rsidRPr="000A7C0C">
        <w:t xml:space="preserve"> </w:t>
      </w:r>
      <w:r w:rsidR="004A0DA8" w:rsidRPr="000A7C0C">
        <w:t>[4]</w:t>
      </w:r>
      <w:r w:rsidR="005125A2" w:rsidRPr="000A7C0C">
        <w:t xml:space="preserve"> propose</w:t>
      </w:r>
      <w:r w:rsidR="00CF0265" w:rsidRPr="000A7C0C">
        <w:t>d</w:t>
      </w:r>
      <w:r w:rsidR="005125A2" w:rsidRPr="000A7C0C">
        <w:t xml:space="preserve"> extending RFSP information from 8 to 32 bits on the S1 interface so that the CN can pass to the E-UTRAN information about the membership of a UE to a certain customer group</w:t>
      </w:r>
      <w:r w:rsidR="007838A3" w:rsidRPr="000A7C0C">
        <w:t xml:space="preserve"> a</w:t>
      </w:r>
      <w:r w:rsidR="001C4176" w:rsidRPr="000A7C0C">
        <w:t>nd apply customer-group-</w:t>
      </w:r>
      <w:r w:rsidR="007838A3" w:rsidRPr="000A7C0C">
        <w:t>related policies</w:t>
      </w:r>
      <w:r w:rsidR="001C4176" w:rsidRPr="000A7C0C">
        <w:t xml:space="preserve"> for scheduling/resources sharing</w:t>
      </w:r>
      <w:r w:rsidR="003D0B5C" w:rsidRPr="000A7C0C">
        <w:t>.</w:t>
      </w:r>
      <w:r w:rsidR="0038547E">
        <w:t xml:space="preserve"> 32 bits are proposed to enable the support of </w:t>
      </w:r>
      <w:proofErr w:type="gramStart"/>
      <w:r w:rsidR="0038547E">
        <w:t>a large number of</w:t>
      </w:r>
      <w:proofErr w:type="gramEnd"/>
      <w:r w:rsidR="0038547E">
        <w:t xml:space="preserve"> enterprise customers.</w:t>
      </w:r>
    </w:p>
    <w:p w14:paraId="3597ECE3" w14:textId="0C7EA385" w:rsidR="003D0B5C" w:rsidRPr="000A7C0C" w:rsidRDefault="003D0B5C" w:rsidP="005125A2">
      <w:r w:rsidRPr="000A7C0C">
        <w:t>The use case</w:t>
      </w:r>
      <w:r w:rsidR="004563FA" w:rsidRPr="000A7C0C">
        <w:t xml:space="preserve"> driving this is</w:t>
      </w:r>
      <w:r w:rsidRPr="000A7C0C">
        <w:t xml:space="preserve"> RAN nodes where there are multiple cells and some of them may serve with priority one or more of these groups, while other</w:t>
      </w:r>
      <w:r w:rsidR="0038547E">
        <w:t xml:space="preserve"> cells</w:t>
      </w:r>
      <w:r w:rsidRPr="000A7C0C">
        <w:t xml:space="preserve"> may not implement any </w:t>
      </w:r>
      <w:proofErr w:type="gramStart"/>
      <w:r w:rsidRPr="000A7C0C">
        <w:t>particular policy</w:t>
      </w:r>
      <w:proofErr w:type="gramEnd"/>
      <w:r w:rsidRPr="000A7C0C">
        <w:t>. This is illustrated by this slide extracted from the</w:t>
      </w:r>
      <w:r w:rsidR="008E73BC">
        <w:t xml:space="preserve"> slides in</w:t>
      </w:r>
      <w:r w:rsidRPr="000A7C0C">
        <w:t xml:space="preserve"> </w:t>
      </w:r>
      <w:hyperlink r:id="rId9" w:history="1">
        <w:r w:rsidR="004D5922" w:rsidRPr="000A7C0C">
          <w:rPr>
            <w:rStyle w:val="Hyperlink"/>
            <w:rFonts w:ascii="Times New Roman" w:hAnsi="Times New Roman"/>
            <w:szCs w:val="18"/>
          </w:rPr>
          <w:t>S2-1901970</w:t>
        </w:r>
      </w:hyperlink>
      <w:r w:rsidR="004D5922" w:rsidRPr="000A7C0C">
        <w:t xml:space="preserve"> [4]</w:t>
      </w:r>
      <w:r w:rsidRPr="000A7C0C">
        <w:t>.</w:t>
      </w:r>
    </w:p>
    <w:p w14:paraId="05DEB3A1" w14:textId="13FBC1EC" w:rsidR="003D0B5C" w:rsidRDefault="003D0B5C" w:rsidP="00C9378A">
      <w:pPr>
        <w:jc w:val="center"/>
      </w:pPr>
      <w:r w:rsidRPr="003D0B5C">
        <w:rPr>
          <w:noProof/>
        </w:rPr>
        <w:drawing>
          <wp:inline distT="0" distB="0" distL="0" distR="0" wp14:anchorId="3C4B3973" wp14:editId="2CE7CBE4">
            <wp:extent cx="4572396"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396" cy="3429297"/>
                    </a:xfrm>
                    <a:prstGeom prst="rect">
                      <a:avLst/>
                    </a:prstGeom>
                  </pic:spPr>
                </pic:pic>
              </a:graphicData>
            </a:graphic>
          </wp:inline>
        </w:drawing>
      </w:r>
    </w:p>
    <w:p w14:paraId="6EC83AE7" w14:textId="1E06050F" w:rsidR="003D0B5C" w:rsidRDefault="003D0B5C" w:rsidP="005125A2">
      <w:r>
        <w:t>It is to be highlighted that all users can still access any of the cells, only some</w:t>
      </w:r>
      <w:r w:rsidR="00C244A1">
        <w:t xml:space="preserve"> users</w:t>
      </w:r>
      <w:r>
        <w:t xml:space="preserve"> have a prioritised handling</w:t>
      </w:r>
      <w:r w:rsidR="002E0E62">
        <w:t xml:space="preserve"> (</w:t>
      </w:r>
      <w:r>
        <w:t>or some minimum resources guarantee</w:t>
      </w:r>
      <w:r w:rsidR="002E0E62">
        <w:t xml:space="preserve">) </w:t>
      </w:r>
      <w:r>
        <w:t>on the basis they belong to some well identified User Groups.</w:t>
      </w:r>
    </w:p>
    <w:p w14:paraId="3138DC9C" w14:textId="6A49F23D" w:rsidR="003D0B5C" w:rsidRDefault="003D0B5C" w:rsidP="00906CEC">
      <w:r w:rsidRPr="0050706F">
        <w:t xml:space="preserve">SA2 has somewhat hastily concluded </w:t>
      </w:r>
      <w:r w:rsidR="00C9378A" w:rsidRPr="0050706F">
        <w:t>in the</w:t>
      </w:r>
      <w:r w:rsidR="00C244A1" w:rsidRPr="0050706F">
        <w:t xml:space="preserve"> agreed</w:t>
      </w:r>
      <w:r w:rsidR="00C9378A" w:rsidRPr="0050706F">
        <w:t xml:space="preserve"> CR in </w:t>
      </w:r>
      <w:hyperlink r:id="rId11" w:history="1">
        <w:r w:rsidR="004D5922" w:rsidRPr="0050706F">
          <w:rPr>
            <w:rStyle w:val="Hyperlink"/>
            <w:rFonts w:ascii="Times New Roman" w:hAnsi="Times New Roman"/>
            <w:szCs w:val="18"/>
          </w:rPr>
          <w:t>S2-1902869</w:t>
        </w:r>
      </w:hyperlink>
      <w:r w:rsidR="004D5922" w:rsidRPr="0050706F">
        <w:t xml:space="preserve"> [3]</w:t>
      </w:r>
      <w:r w:rsidR="00906CEC">
        <w:t xml:space="preserve"> (which is 23.401 CR 3499 in SP-190175)</w:t>
      </w:r>
      <w:r w:rsidR="004D5922" w:rsidRPr="0050706F">
        <w:t>,</w:t>
      </w:r>
      <w:r w:rsidR="00C9378A" w:rsidRPr="0050706F">
        <w:t xml:space="preserve"> as indicated </w:t>
      </w:r>
      <w:r w:rsidR="004D5922" w:rsidRPr="0050706F">
        <w:t>i</w:t>
      </w:r>
      <w:r w:rsidR="00C9378A" w:rsidRPr="0050706F">
        <w:t xml:space="preserve">n </w:t>
      </w:r>
      <w:r w:rsidR="00C244A1" w:rsidRPr="0050706F">
        <w:t>a LS</w:t>
      </w:r>
      <w:r w:rsidR="004D5922" w:rsidRPr="0050706F">
        <w:t xml:space="preserve"> (</w:t>
      </w:r>
      <w:hyperlink r:id="rId12" w:history="1">
        <w:r w:rsidR="004D5922" w:rsidRPr="0050706F">
          <w:rPr>
            <w:rStyle w:val="Hyperlink"/>
            <w:rFonts w:ascii="Times New Roman" w:hAnsi="Times New Roman"/>
            <w:szCs w:val="18"/>
          </w:rPr>
          <w:t>S2-1902908</w:t>
        </w:r>
      </w:hyperlink>
      <w:r w:rsidR="00C9378A" w:rsidRPr="0050706F">
        <w:t xml:space="preserve"> </w:t>
      </w:r>
      <w:r w:rsidR="008E73BC">
        <w:t xml:space="preserve">/ </w:t>
      </w:r>
      <w:hyperlink r:id="rId13" w:tgtFrame="_blank" w:history="1">
        <w:r w:rsidR="008E73BC" w:rsidRPr="008E73BC">
          <w:rPr>
            <w:rStyle w:val="Hyperlink"/>
            <w:rFonts w:ascii="Times New Roman" w:hAnsi="Times New Roman"/>
            <w:szCs w:val="18"/>
          </w:rPr>
          <w:t>SP-190147</w:t>
        </w:r>
      </w:hyperlink>
      <w:r w:rsidR="008E73BC" w:rsidRPr="008E73BC">
        <w:rPr>
          <w:rStyle w:val="Hyperlink"/>
          <w:rFonts w:ascii="Times New Roman" w:hAnsi="Times New Roman"/>
          <w:szCs w:val="18"/>
        </w:rPr>
        <w:t xml:space="preserve"> </w:t>
      </w:r>
      <w:r w:rsidR="004D5922" w:rsidRPr="0050706F">
        <w:t xml:space="preserve">[1]) </w:t>
      </w:r>
      <w:r w:rsidR="00C9378A" w:rsidRPr="0050706F">
        <w:t xml:space="preserve">incoming at this </w:t>
      </w:r>
      <w:r w:rsidR="00AA2447">
        <w:t>SA</w:t>
      </w:r>
      <w:r w:rsidR="00C9378A" w:rsidRPr="0050706F">
        <w:t xml:space="preserve"> plenary meeting, </w:t>
      </w:r>
      <w:r w:rsidRPr="0050706F">
        <w:t>to proceed to serve this use case</w:t>
      </w:r>
      <w:r w:rsidR="00AB553D" w:rsidRPr="0050706F">
        <w:t>. This CR is</w:t>
      </w:r>
      <w:r w:rsidRPr="0050706F">
        <w:t xml:space="preserve"> introducing a</w:t>
      </w:r>
      <w:r w:rsidR="004563FA" w:rsidRPr="0050706F">
        <w:t>n</w:t>
      </w:r>
      <w:r w:rsidRPr="0050706F">
        <w:t xml:space="preserve"> ARPI parameter over S1 as a</w:t>
      </w:r>
      <w:r w:rsidR="00C9378A" w:rsidRPr="0050706F">
        <w:t xml:space="preserve"> group identifier or RRM policy per </w:t>
      </w:r>
      <w:r w:rsidR="004563FA" w:rsidRPr="0050706F">
        <w:t>User Group</w:t>
      </w:r>
      <w:r w:rsidRPr="0050706F">
        <w:t xml:space="preserve">, </w:t>
      </w:r>
      <w:proofErr w:type="gramStart"/>
      <w:r w:rsidRPr="0050706F">
        <w:t>on the grounds that</w:t>
      </w:r>
      <w:proofErr w:type="gramEnd"/>
      <w:r w:rsidRPr="0050706F">
        <w:t xml:space="preserve"> the Hybrid CSG concept, which some other companies believed to be fitting this used case, was missing the ability to serve the case of a single RAN node with heterogenous mix of cells supporting various Closed User Groups, and not a single Closed User Group. This is acknowledged, and in fact in </w:t>
      </w:r>
      <w:r w:rsidR="00C244A1" w:rsidRPr="0050706F">
        <w:t xml:space="preserve">the discussion paper </w:t>
      </w:r>
      <w:hyperlink r:id="rId14" w:history="1">
        <w:r w:rsidR="004D5922" w:rsidRPr="0050706F">
          <w:rPr>
            <w:rStyle w:val="Hyperlink"/>
            <w:rFonts w:ascii="Times New Roman" w:hAnsi="Times New Roman"/>
            <w:szCs w:val="18"/>
          </w:rPr>
          <w:t>S2-1902053</w:t>
        </w:r>
      </w:hyperlink>
      <w:r w:rsidR="00C9378A" w:rsidRPr="0050706F">
        <w:t xml:space="preserve"> </w:t>
      </w:r>
      <w:r w:rsidR="004D5922" w:rsidRPr="0050706F">
        <w:t xml:space="preserve">[2] </w:t>
      </w:r>
      <w:r w:rsidR="00C9378A" w:rsidRPr="0050706F">
        <w:t>(which unfortunately SA2 failed to even open)</w:t>
      </w:r>
      <w:r w:rsidRPr="0050706F">
        <w:t xml:space="preserve"> </w:t>
      </w:r>
      <w:r w:rsidR="007A2AF6" w:rsidRPr="0050706F">
        <w:t>some</w:t>
      </w:r>
      <w:r w:rsidRPr="0050706F">
        <w:t xml:space="preserve"> companies have proposed to</w:t>
      </w:r>
      <w:r w:rsidR="007A2AF6" w:rsidRPr="0050706F">
        <w:t xml:space="preserve"> e.g.</w:t>
      </w:r>
      <w:r w:rsidRPr="0050706F">
        <w:t xml:space="preserve"> reuse the</w:t>
      </w:r>
      <w:r w:rsidR="007A2AF6" w:rsidRPr="0050706F">
        <w:t xml:space="preserve"> </w:t>
      </w:r>
      <w:r w:rsidR="007A2AF6" w:rsidRPr="0050706F">
        <w:rPr>
          <w:i/>
        </w:rPr>
        <w:t>Subscription Based UE Differentiation Information</w:t>
      </w:r>
      <w:r w:rsidR="007A2AF6" w:rsidRPr="0050706F">
        <w:t xml:space="preserve"> IE</w:t>
      </w:r>
      <w:r w:rsidRPr="0050706F">
        <w:t xml:space="preserve"> </w:t>
      </w:r>
      <w:r w:rsidR="007A2AF6" w:rsidRPr="0050706F">
        <w:t>defined in TS 36.413 and add to it a CSG list as an optional element to the if so desired.</w:t>
      </w:r>
      <w:r w:rsidR="007A2AF6" w:rsidRPr="007A2AF6">
        <w:t xml:space="preserve"> </w:t>
      </w:r>
      <w:r w:rsidR="007A2AF6">
        <w:t>This would</w:t>
      </w:r>
      <w:r w:rsidR="0056659A">
        <w:t xml:space="preserve"> push to the RAN the list of CSG IDs allowed for the UE and</w:t>
      </w:r>
      <w:r w:rsidR="007A2AF6">
        <w:t xml:space="preserve"> enable not only the feature that the proponents of the SA2 CR want, but also the ability to allow a single UE to be member of a plurality of CSGs, which is already possible</w:t>
      </w:r>
      <w:r w:rsidR="007444DA">
        <w:t xml:space="preserve"> (see </w:t>
      </w:r>
      <w:r w:rsidR="0050706F">
        <w:t>TS</w:t>
      </w:r>
      <w:r w:rsidR="007444DA">
        <w:t xml:space="preserve"> 23.008 excerpt here below)</w:t>
      </w:r>
    </w:p>
    <w:tbl>
      <w:tblPr>
        <w:tblStyle w:val="TableGrid"/>
        <w:tblW w:w="0" w:type="auto"/>
        <w:tblLook w:val="04A0" w:firstRow="1" w:lastRow="0" w:firstColumn="1" w:lastColumn="0" w:noHBand="0" w:noVBand="1"/>
      </w:tblPr>
      <w:tblGrid>
        <w:gridCol w:w="9629"/>
      </w:tblGrid>
      <w:tr w:rsidR="007444DA" w14:paraId="15A030C4" w14:textId="77777777" w:rsidTr="007444DA">
        <w:tc>
          <w:tcPr>
            <w:tcW w:w="9629" w:type="dxa"/>
          </w:tcPr>
          <w:p w14:paraId="4A700F6B" w14:textId="77777777" w:rsidR="007444DA" w:rsidRPr="00B366FF" w:rsidRDefault="007444DA" w:rsidP="007444DA">
            <w:pPr>
              <w:pStyle w:val="Heading3"/>
            </w:pPr>
            <w:bookmarkStart w:id="1" w:name="_Toc533156947"/>
            <w:r w:rsidRPr="00B366FF">
              <w:lastRenderedPageBreak/>
              <w:t>2.4.22</w:t>
            </w:r>
            <w:r w:rsidRPr="00B366FF">
              <w:tab/>
              <w:t>Closed Subscriber Group Information</w:t>
            </w:r>
            <w:bookmarkEnd w:id="1"/>
          </w:p>
          <w:p w14:paraId="4C73E836" w14:textId="480C6B5D" w:rsidR="007444DA" w:rsidRDefault="007444DA" w:rsidP="007444DA">
            <w:r w:rsidRPr="00B366FF">
              <w:t xml:space="preserve">If a mobile subscriber has a Closed Subscriber Group (CSG) subscription, the HLR/HSS shall store Closed Subscriber Group Information which is a list of </w:t>
            </w:r>
            <w:r w:rsidRPr="00C9378A">
              <w:rPr>
                <w:highlight w:val="yellow"/>
              </w:rPr>
              <w:t>up to 50 CSG-Ids</w:t>
            </w:r>
            <w:r w:rsidRPr="00B366FF">
              <w:t xml:space="preserve"> per PLMN and for each CSG-Id optionally an associated expiration date which indicates the point in time when the subscription to the CSG-Id expires</w:t>
            </w:r>
            <w:r w:rsidRPr="00B366FF">
              <w:rPr>
                <w:rFonts w:hint="eastAsia"/>
                <w:lang w:eastAsia="zh-CN"/>
              </w:rPr>
              <w:t xml:space="preserve"> and optionally corresponding </w:t>
            </w:r>
            <w:r w:rsidRPr="00B366FF">
              <w:t>APN</w:t>
            </w:r>
            <w:r w:rsidRPr="00B366FF">
              <w:rPr>
                <w:rFonts w:hint="eastAsia"/>
                <w:lang w:eastAsia="zh-CN"/>
              </w:rPr>
              <w:t xml:space="preserve">s which can be accessed via Local IP access from </w:t>
            </w:r>
            <w:r w:rsidRPr="00B366FF">
              <w:rPr>
                <w:lang w:eastAsia="zh-CN"/>
              </w:rPr>
              <w:t>th</w:t>
            </w:r>
            <w:r w:rsidRPr="00B366FF">
              <w:rPr>
                <w:rFonts w:hint="eastAsia"/>
                <w:lang w:eastAsia="zh-CN"/>
              </w:rPr>
              <w:t>is CSG identified by the CSG-Id</w:t>
            </w:r>
            <w:r w:rsidRPr="00B366FF">
              <w:t>;</w:t>
            </w:r>
          </w:p>
        </w:tc>
      </w:tr>
    </w:tbl>
    <w:p w14:paraId="7FC438B6" w14:textId="77777777" w:rsidR="007444DA" w:rsidRDefault="007444DA" w:rsidP="005125A2"/>
    <w:p w14:paraId="68E86210" w14:textId="1FE9AD73" w:rsidR="007A2AF6" w:rsidRPr="00C9378A" w:rsidRDefault="007444DA" w:rsidP="00267D93">
      <w:pPr>
        <w:rPr>
          <w:b/>
        </w:rPr>
      </w:pPr>
      <w:r w:rsidRPr="00C9378A">
        <w:rPr>
          <w:b/>
        </w:rPr>
        <w:t>Observation 1: it is feasible to extend the Hybrid CSG concept to support the indication to the RAN of a plurality of CSG membership</w:t>
      </w:r>
      <w:r w:rsidR="0056659A">
        <w:rPr>
          <w:b/>
        </w:rPr>
        <w:t>s</w:t>
      </w:r>
      <w:r w:rsidRPr="00C9378A">
        <w:rPr>
          <w:b/>
        </w:rPr>
        <w:t xml:space="preserve"> for the UE.</w:t>
      </w:r>
      <w:r>
        <w:rPr>
          <w:b/>
        </w:rPr>
        <w:t xml:space="preserve"> The </w:t>
      </w:r>
      <w:r w:rsidR="0050706F">
        <w:rPr>
          <w:b/>
        </w:rPr>
        <w:t>p</w:t>
      </w:r>
      <w:r>
        <w:rPr>
          <w:b/>
        </w:rPr>
        <w:t>roposed concept of ARPI by contrast is limited to a single membership per UE.</w:t>
      </w:r>
    </w:p>
    <w:p w14:paraId="01A272CF" w14:textId="362BD6A9" w:rsidR="007444DA" w:rsidRDefault="00451F67" w:rsidP="005125A2">
      <w:r w:rsidRPr="00400743">
        <w:t xml:space="preserve">With this simple extension, </w:t>
      </w:r>
      <w:r w:rsidR="00C244A1">
        <w:t xml:space="preserve">Hybrid CSG </w:t>
      </w:r>
      <w:r w:rsidRPr="00400743">
        <w:t>feature level parity</w:t>
      </w:r>
      <w:r w:rsidR="00C244A1">
        <w:t xml:space="preserve"> with ARPI is achieved</w:t>
      </w:r>
      <w:r w:rsidRPr="00400743">
        <w:t>, with the possible exception that a single cell needs to be enhanced to support multiple CSG IDs. But this is</w:t>
      </w:r>
      <w:r w:rsidR="00C244A1">
        <w:t xml:space="preserve"> also</w:t>
      </w:r>
      <w:r w:rsidRPr="00400743">
        <w:t xml:space="preserve"> quite a simple enhancement </w:t>
      </w:r>
      <w:r w:rsidR="008B6BF7">
        <w:t xml:space="preserve">(and non </w:t>
      </w:r>
      <w:proofErr w:type="spellStart"/>
      <w:r w:rsidR="008B6BF7">
        <w:t>Ue</w:t>
      </w:r>
      <w:proofErr w:type="spellEnd"/>
      <w:r w:rsidR="008B6BF7">
        <w:t xml:space="preserve"> impacting if </w:t>
      </w:r>
      <w:r w:rsidRPr="00400743">
        <w:t>we do not require then to broadcast these, as</w:t>
      </w:r>
      <w:r w:rsidR="00C244A1">
        <w:t xml:space="preserve"> anyhow the CR agreed by SA2 does not</w:t>
      </w:r>
      <w:r w:rsidRPr="00400743">
        <w:t xml:space="preserve"> requir</w:t>
      </w:r>
      <w:r w:rsidR="00C244A1">
        <w:t xml:space="preserve">e </w:t>
      </w:r>
      <w:r w:rsidRPr="00400743">
        <w:t>to broadcast the ARPI</w:t>
      </w:r>
      <w:r w:rsidR="008B6BF7">
        <w:t>)</w:t>
      </w:r>
      <w:r w:rsidRPr="00400743">
        <w:t>.</w:t>
      </w:r>
      <w:r>
        <w:t xml:space="preserve"> This is </w:t>
      </w:r>
      <w:r w:rsidR="008B6BF7">
        <w:t xml:space="preserve">further </w:t>
      </w:r>
      <w:r>
        <w:t>addressed below in this paper.</w:t>
      </w:r>
    </w:p>
    <w:p w14:paraId="5F0DFE74" w14:textId="0DFE07A4" w:rsidR="00107FBE" w:rsidRDefault="00107FBE" w:rsidP="005125A2">
      <w:r>
        <w:t xml:space="preserve">In </w:t>
      </w:r>
      <w:r w:rsidR="008039F7">
        <w:t>addition,</w:t>
      </w:r>
      <w:r>
        <w:t xml:space="preserve"> the differentiated treatment of CSG subscribers in a hybrid CSG cell is already a function of the CSG and we can configure different</w:t>
      </w:r>
      <w:r w:rsidR="004563FA">
        <w:t>iated</w:t>
      </w:r>
      <w:r>
        <w:t xml:space="preserve"> rate control for CSG and non CSG users. Se</w:t>
      </w:r>
      <w:r w:rsidR="0056659A">
        <w:t>e</w:t>
      </w:r>
      <w:r>
        <w:t xml:space="preserve"> TS 23.401</w:t>
      </w:r>
      <w:r w:rsidR="0056659A">
        <w:t>:</w:t>
      </w:r>
    </w:p>
    <w:tbl>
      <w:tblPr>
        <w:tblStyle w:val="TableGrid"/>
        <w:tblW w:w="0" w:type="auto"/>
        <w:tblLook w:val="04A0" w:firstRow="1" w:lastRow="0" w:firstColumn="1" w:lastColumn="0" w:noHBand="0" w:noVBand="1"/>
      </w:tblPr>
      <w:tblGrid>
        <w:gridCol w:w="9629"/>
      </w:tblGrid>
      <w:tr w:rsidR="008039F7" w14:paraId="1442D471" w14:textId="77777777" w:rsidTr="008039F7">
        <w:tc>
          <w:tcPr>
            <w:tcW w:w="9629" w:type="dxa"/>
          </w:tcPr>
          <w:p w14:paraId="20AC7CF7" w14:textId="607FCA18" w:rsidR="008039F7" w:rsidRDefault="008039F7" w:rsidP="002E0E62">
            <w:pPr>
              <w:pStyle w:val="B1"/>
            </w:pPr>
            <w:r w:rsidRPr="00990165">
              <w:t>-</w:t>
            </w:r>
            <w:r w:rsidRPr="00990165">
              <w:tab/>
              <w:t>Admission and rate control function is used to provide different admission and rate control for CSG and non-CSG members for a hybrid CSG cell.</w:t>
            </w:r>
          </w:p>
        </w:tc>
      </w:tr>
    </w:tbl>
    <w:p w14:paraId="1386A6CC" w14:textId="2FB9A711" w:rsidR="008B6BF7" w:rsidRDefault="008B6BF7" w:rsidP="00427258"/>
    <w:p w14:paraId="2E8328E2" w14:textId="278B8CED" w:rsidR="00427258" w:rsidRDefault="008B6BF7" w:rsidP="00427258">
      <w:r>
        <w:t xml:space="preserve">Also, for any </w:t>
      </w:r>
      <w:r w:rsidR="0056659A">
        <w:t xml:space="preserve">new </w:t>
      </w:r>
      <w:r>
        <w:t>rel-16</w:t>
      </w:r>
      <w:r w:rsidR="0056659A">
        <w:t xml:space="preserve"> EPS</w:t>
      </w:r>
      <w:r>
        <w:t xml:space="preserve"> future</w:t>
      </w:r>
      <w:r w:rsidR="0056659A">
        <w:t>,</w:t>
      </w:r>
      <w:r>
        <w:t xml:space="preserve"> we should take care of the 5GS interworking aspect as it will be a likely/real need that operators need </w:t>
      </w:r>
      <w:r w:rsidR="0056659A">
        <w:t>to have a way to</w:t>
      </w:r>
      <w:r>
        <w:t xml:space="preserve"> migrate and interwork with the 5GS. This aspect is missing in the proposed CR. </w:t>
      </w:r>
      <w:r w:rsidR="004563FA">
        <w:t>It should be noted that in 5GS SA2 is defining the concept of CAG (Closed Access Group) that is homogenous with the concept of CSG</w:t>
      </w:r>
      <w:r w:rsidR="00656BD5">
        <w:t xml:space="preserve"> (</w:t>
      </w:r>
      <w:hyperlink r:id="rId15" w:history="1">
        <w:r w:rsidR="00656BD5" w:rsidRPr="0050706F">
          <w:rPr>
            <w:rStyle w:val="Hyperlink"/>
            <w:rFonts w:ascii="Times New Roman" w:hAnsi="Times New Roman"/>
            <w:szCs w:val="18"/>
          </w:rPr>
          <w:t>S2-190</w:t>
        </w:r>
        <w:r w:rsidR="00BF2216">
          <w:rPr>
            <w:rStyle w:val="Hyperlink"/>
            <w:rFonts w:ascii="Times New Roman" w:hAnsi="Times New Roman"/>
            <w:szCs w:val="18"/>
          </w:rPr>
          <w:t>2898</w:t>
        </w:r>
      </w:hyperlink>
      <w:r w:rsidR="00656BD5">
        <w:t>[6]).</w:t>
      </w:r>
      <w:r w:rsidR="004563FA">
        <w:t xml:space="preserve"> </w:t>
      </w:r>
      <w:r w:rsidR="0050706F">
        <w:t>Therefore</w:t>
      </w:r>
      <w:r w:rsidR="004563FA">
        <w:t xml:space="preserve">, if this feature is implemented with CSG concept then a one to one mapping to CAG in 5GS is possible. Which is not so if the ARPI is used as the ARPI is proposed to more map to the S-NSSAI. </w:t>
      </w:r>
      <w:r w:rsidR="0034748A">
        <w:t>T</w:t>
      </w:r>
      <w:r w:rsidR="004563FA">
        <w:t xml:space="preserve">he issue then being that the interworking is </w:t>
      </w:r>
      <w:proofErr w:type="gramStart"/>
      <w:r w:rsidR="004563FA">
        <w:t xml:space="preserve">pretty </w:t>
      </w:r>
      <w:r w:rsidR="004563FA" w:rsidRPr="0050706F">
        <w:t>difficult</w:t>
      </w:r>
      <w:proofErr w:type="gramEnd"/>
      <w:r w:rsidR="004563FA" w:rsidRPr="0050706F">
        <w:t xml:space="preserve"> as a UE may have active &gt;1 slice while there is just one ARPI active at a time. In addition, the S-NSSAI is valid/uniformly supported per TAI, while the ARPI is designed to be valid per Cell</w:t>
      </w:r>
      <w:r w:rsidR="0011102D" w:rsidRPr="0050706F">
        <w:t xml:space="preserve"> (as per use case in </w:t>
      </w:r>
      <w:hyperlink r:id="rId16" w:history="1">
        <w:r w:rsidR="0011102D" w:rsidRPr="0050706F">
          <w:rPr>
            <w:rStyle w:val="Hyperlink"/>
            <w:rFonts w:ascii="Times New Roman" w:hAnsi="Times New Roman"/>
            <w:szCs w:val="18"/>
          </w:rPr>
          <w:t>S2-1901970</w:t>
        </w:r>
      </w:hyperlink>
      <w:r w:rsidR="0011102D" w:rsidRPr="0050706F">
        <w:t xml:space="preserve"> [4].)</w:t>
      </w:r>
      <w:r w:rsidR="004563FA" w:rsidRPr="0050706F">
        <w:t>, like</w:t>
      </w:r>
      <w:r w:rsidR="004563FA">
        <w:t xml:space="preserve"> the CAG</w:t>
      </w:r>
      <w:r w:rsidR="0011102D">
        <w:t xml:space="preserve"> and the CSG</w:t>
      </w:r>
      <w:r w:rsidR="004563FA">
        <w:t>.</w:t>
      </w:r>
      <w:r w:rsidR="00427258">
        <w:t xml:space="preserve"> In other words, to apply the ARPI as S-NSSAI in 5GS, we should associate such S-NSSAI down to a cell granularity which mean we need to allocate a TAI for each cell where there is a S-NSSAI mapping to an ARPI. </w:t>
      </w:r>
      <w:r w:rsidR="00427258" w:rsidRPr="00427258">
        <w:rPr>
          <w:u w:val="single"/>
        </w:rPr>
        <w:t>This would impact 5GS RAN</w:t>
      </w:r>
      <w:r>
        <w:rPr>
          <w:u w:val="single"/>
        </w:rPr>
        <w:t xml:space="preserve"> TAI</w:t>
      </w:r>
      <w:r w:rsidR="00427258" w:rsidRPr="00427258">
        <w:rPr>
          <w:u w:val="single"/>
        </w:rPr>
        <w:t xml:space="preserve"> planning.</w:t>
      </w:r>
      <w:r w:rsidR="00427258">
        <w:t xml:space="preserve"> In addition, </w:t>
      </w:r>
      <w:r w:rsidR="00427258" w:rsidRPr="00427258">
        <w:rPr>
          <w:b/>
        </w:rPr>
        <w:t>it is not required to support an enterprise by means of a slice</w:t>
      </w:r>
      <w:r>
        <w:rPr>
          <w:b/>
        </w:rPr>
        <w:t xml:space="preserve">. </w:t>
      </w:r>
      <w:r w:rsidRPr="0056659A">
        <w:t>E</w:t>
      </w:r>
      <w:r w:rsidR="00427258">
        <w:t xml:space="preserve">ven for </w:t>
      </w:r>
      <w:r>
        <w:t>a</w:t>
      </w:r>
      <w:r w:rsidR="0056659A">
        <w:t>n enterprise which uses a</w:t>
      </w:r>
      <w:r>
        <w:t xml:space="preserve"> </w:t>
      </w:r>
      <w:r w:rsidR="00427258">
        <w:t>NPN</w:t>
      </w:r>
      <w:r w:rsidR="0056659A">
        <w:t xml:space="preserve"> in a PLMN, the NPN could</w:t>
      </w:r>
      <w:r w:rsidR="00427258">
        <w:t xml:space="preserve"> be supported by means of a DNN </w:t>
      </w:r>
      <w:r>
        <w:t xml:space="preserve">- </w:t>
      </w:r>
      <w:r w:rsidR="00427258">
        <w:t xml:space="preserve">see excerpt from CR </w:t>
      </w:r>
      <w:hyperlink r:id="rId17" w:history="1">
        <w:r w:rsidR="00427258" w:rsidRPr="0050706F">
          <w:rPr>
            <w:rStyle w:val="Hyperlink"/>
            <w:rFonts w:ascii="Times New Roman" w:hAnsi="Times New Roman"/>
            <w:szCs w:val="18"/>
          </w:rPr>
          <w:t>S2-190</w:t>
        </w:r>
        <w:r w:rsidR="00427258">
          <w:rPr>
            <w:rStyle w:val="Hyperlink"/>
            <w:rFonts w:ascii="Times New Roman" w:hAnsi="Times New Roman"/>
            <w:szCs w:val="18"/>
          </w:rPr>
          <w:t>2898</w:t>
        </w:r>
      </w:hyperlink>
      <w:r w:rsidR="00427258">
        <w:t>[6].</w:t>
      </w:r>
      <w:r w:rsidR="00DB573E">
        <w:t xml:space="preserve"> </w:t>
      </w:r>
    </w:p>
    <w:tbl>
      <w:tblPr>
        <w:tblStyle w:val="TableGrid"/>
        <w:tblW w:w="0" w:type="auto"/>
        <w:tblLook w:val="04A0" w:firstRow="1" w:lastRow="0" w:firstColumn="1" w:lastColumn="0" w:noHBand="0" w:noVBand="1"/>
      </w:tblPr>
      <w:tblGrid>
        <w:gridCol w:w="9629"/>
      </w:tblGrid>
      <w:tr w:rsidR="00427258" w14:paraId="41C9ACBD" w14:textId="77777777" w:rsidTr="00427258">
        <w:tc>
          <w:tcPr>
            <w:tcW w:w="9629" w:type="dxa"/>
          </w:tcPr>
          <w:p w14:paraId="3AE01670" w14:textId="2F1D2556" w:rsidR="00427258" w:rsidRDefault="00427258" w:rsidP="00427258">
            <w:r>
              <w:t>“</w:t>
            </w:r>
            <w:r w:rsidRPr="00623076">
              <w:t xml:space="preserve">Public network integrated NPNs are NPNs made available via PLMNs </w:t>
            </w:r>
            <w:r w:rsidRPr="00DB573E">
              <w:rPr>
                <w:highlight w:val="yellow"/>
              </w:rPr>
              <w:t>e.g. by means of dedicated DNNs,</w:t>
            </w:r>
            <w:r w:rsidRPr="00623076">
              <w:t xml:space="preserve"> or by one (or more) Network Slice instances allocated for the NPN.</w:t>
            </w:r>
            <w:r>
              <w:t>”</w:t>
            </w:r>
          </w:p>
        </w:tc>
      </w:tr>
    </w:tbl>
    <w:p w14:paraId="11D0B81C" w14:textId="77777777" w:rsidR="008B6BF7" w:rsidRDefault="008B6BF7" w:rsidP="00427258"/>
    <w:p w14:paraId="1116579A" w14:textId="527E3FB9" w:rsidR="00DB573E" w:rsidRDefault="008B6BF7" w:rsidP="00427258">
      <w:r>
        <w:t>In other words, it is not mandatory to allocate a slice per enterprise even in 5GS and the access and rate control / RRM offered by CAG can be applied, like in EPS the CSG offer access and rate control/RRM per CSG. A</w:t>
      </w:r>
      <w:r w:rsidR="00DB573E">
        <w:t>n enterprise may get a CSG and a</w:t>
      </w:r>
      <w:r w:rsidR="00BE2253">
        <w:t>n</w:t>
      </w:r>
      <w:r w:rsidR="00DB573E">
        <w:t xml:space="preserve"> APN in EPS and use e.g. </w:t>
      </w:r>
      <w:proofErr w:type="spellStart"/>
      <w:r w:rsidR="00DB573E">
        <w:t>eMBB</w:t>
      </w:r>
      <w:proofErr w:type="spellEnd"/>
      <w:r w:rsidR="00DB573E">
        <w:t>, a CAG</w:t>
      </w:r>
      <w:r w:rsidR="0056659A">
        <w:t xml:space="preserve"> mapping to the CSG</w:t>
      </w:r>
      <w:r w:rsidR="00DB573E">
        <w:t xml:space="preserve"> and a DNN</w:t>
      </w:r>
      <w:r w:rsidR="0038547E">
        <w:t xml:space="preserve"> mapping to the EPS APN</w:t>
      </w:r>
      <w:r w:rsidR="00DB573E">
        <w:t xml:space="preserve"> in 5GS. </w:t>
      </w:r>
    </w:p>
    <w:p w14:paraId="292984F5" w14:textId="447F4ACB" w:rsidR="0059350C" w:rsidRDefault="004563FA" w:rsidP="00427258">
      <w:pPr>
        <w:rPr>
          <w:b/>
        </w:rPr>
      </w:pPr>
      <w:r w:rsidRPr="00C9378A">
        <w:rPr>
          <w:b/>
        </w:rPr>
        <w:t>Observation</w:t>
      </w:r>
      <w:r>
        <w:rPr>
          <w:b/>
        </w:rPr>
        <w:t xml:space="preserve"> </w:t>
      </w:r>
      <w:r w:rsidR="00AA2447">
        <w:rPr>
          <w:b/>
        </w:rPr>
        <w:t>2</w:t>
      </w:r>
      <w:r>
        <w:rPr>
          <w:b/>
        </w:rPr>
        <w:t>: The concept of ARPI</w:t>
      </w:r>
      <w:r w:rsidR="00AA2447">
        <w:rPr>
          <w:b/>
        </w:rPr>
        <w:t xml:space="preserve"> as used in the proposed use case</w:t>
      </w:r>
      <w:r>
        <w:rPr>
          <w:b/>
        </w:rPr>
        <w:t xml:space="preserve"> is closer to the 5GS concept of CAG and EPS concept of CSG than</w:t>
      </w:r>
      <w:r w:rsidR="00DB573E">
        <w:rPr>
          <w:b/>
        </w:rPr>
        <w:t xml:space="preserve"> the concept</w:t>
      </w:r>
      <w:r>
        <w:rPr>
          <w:b/>
        </w:rPr>
        <w:t xml:space="preserve"> S-NSSAI.</w:t>
      </w:r>
    </w:p>
    <w:p w14:paraId="4FBB3986" w14:textId="21CC0586" w:rsidR="0059350C" w:rsidRDefault="0059350C" w:rsidP="005125A2">
      <w:r>
        <w:t xml:space="preserve">Note that the CAG concept already supports based, on the agreed CR </w:t>
      </w:r>
      <w:hyperlink r:id="rId18" w:history="1">
        <w:r w:rsidRPr="0050706F">
          <w:rPr>
            <w:rStyle w:val="Hyperlink"/>
            <w:rFonts w:ascii="Times New Roman" w:hAnsi="Times New Roman"/>
            <w:szCs w:val="18"/>
          </w:rPr>
          <w:t>S2-190</w:t>
        </w:r>
        <w:r>
          <w:rPr>
            <w:rStyle w:val="Hyperlink"/>
            <w:rFonts w:ascii="Times New Roman" w:hAnsi="Times New Roman"/>
            <w:szCs w:val="18"/>
          </w:rPr>
          <w:t>2898</w:t>
        </w:r>
      </w:hyperlink>
      <w:r>
        <w:t>[6], incoming for approval at this plenary, the concept of broadcasting&gt;1 CAG per cell and also to push the CAG list to the RAN, which also are the proposed enhancements we are proposing for the CSG in E</w:t>
      </w:r>
      <w:r w:rsidR="008B6BF7">
        <w:t xml:space="preserve">PS, </w:t>
      </w:r>
      <w:r>
        <w:t>so</w:t>
      </w:r>
      <w:r w:rsidR="0038547E">
        <w:t>,</w:t>
      </w:r>
      <w:r w:rsidR="008B6BF7">
        <w:t xml:space="preserve"> </w:t>
      </w:r>
      <w:r w:rsidR="0038547E">
        <w:t>as a side effect of opting for the solution we propose, we obtain</w:t>
      </w:r>
      <w:r w:rsidR="008B6BF7">
        <w:t xml:space="preserve"> feature </w:t>
      </w:r>
      <w:r w:rsidR="0038547E">
        <w:t>alignment of EPS CSG to</w:t>
      </w:r>
      <w:r>
        <w:t xml:space="preserve"> 5GS</w:t>
      </w:r>
      <w:r w:rsidR="0038547E">
        <w:t xml:space="preserve"> CAG, which then would allow for smooth interworking between CSG and CAG</w:t>
      </w:r>
      <w:r>
        <w:t>.</w:t>
      </w:r>
    </w:p>
    <w:p w14:paraId="13D3FF28" w14:textId="16AA13C9" w:rsidR="0056659A" w:rsidRDefault="0056659A" w:rsidP="0056659A">
      <w:pPr>
        <w:rPr>
          <w:b/>
        </w:rPr>
      </w:pPr>
      <w:r w:rsidRPr="00C9378A">
        <w:rPr>
          <w:b/>
        </w:rPr>
        <w:t>Observation</w:t>
      </w:r>
      <w:r>
        <w:rPr>
          <w:b/>
        </w:rPr>
        <w:t xml:space="preserve"> 3: Hybrid CSG based solution has a clear interworking and migration scenario outlined. The ARPI as used in the proposed use case misses a description of this and it seems problematic to design without then making the ARPI uniform with CAG</w:t>
      </w:r>
      <w:r w:rsidR="007E2B30">
        <w:rPr>
          <w:b/>
        </w:rPr>
        <w:t>,</w:t>
      </w:r>
      <w:r>
        <w:rPr>
          <w:b/>
        </w:rPr>
        <w:t xml:space="preserve"> and if so it is more evident that the Hybrid CSG based solution is the way </w:t>
      </w:r>
      <w:r w:rsidR="007E2B30">
        <w:rPr>
          <w:b/>
        </w:rPr>
        <w:t>forward for the use case</w:t>
      </w:r>
      <w:r>
        <w:rPr>
          <w:b/>
        </w:rPr>
        <w:t>.</w:t>
      </w:r>
    </w:p>
    <w:p w14:paraId="2AFCB8DA" w14:textId="77777777" w:rsidR="0056659A" w:rsidRDefault="0056659A" w:rsidP="005125A2"/>
    <w:p w14:paraId="77895347" w14:textId="13982B20" w:rsidR="000D0ADC" w:rsidRDefault="004563FA" w:rsidP="005125A2">
      <w:r>
        <w:lastRenderedPageBreak/>
        <w:t>I</w:t>
      </w:r>
      <w:r w:rsidR="003F02A8">
        <w:t xml:space="preserve">t would be a useful thing </w:t>
      </w:r>
      <w:r w:rsidR="00984EE4">
        <w:t xml:space="preserve">also </w:t>
      </w:r>
      <w:r w:rsidR="003F02A8">
        <w:t>that the</w:t>
      </w:r>
      <w:r w:rsidR="000D0ADC">
        <w:t xml:space="preserve"> source eNB is </w:t>
      </w:r>
      <w:r w:rsidR="00451F67">
        <w:t>a</w:t>
      </w:r>
      <w:r w:rsidR="000D0ADC">
        <w:t xml:space="preserve">ware of the </w:t>
      </w:r>
      <w:r w:rsidR="00656BD5">
        <w:t>groups</w:t>
      </w:r>
      <w:r w:rsidR="000D0ADC">
        <w:t xml:space="preserve"> supported by </w:t>
      </w:r>
      <w:r w:rsidR="004F5C00">
        <w:t>target</w:t>
      </w:r>
      <w:r w:rsidR="000D0ADC">
        <w:t xml:space="preserve"> cell</w:t>
      </w:r>
      <w:r>
        <w:t>.</w:t>
      </w:r>
      <w:r w:rsidR="0059350C">
        <w:t xml:space="preserve"> </w:t>
      </w:r>
      <w:r w:rsidR="000D0ADC">
        <w:t>This is supported already</w:t>
      </w:r>
      <w:r w:rsidR="0097692F">
        <w:t xml:space="preserve"> in the CSG case</w:t>
      </w:r>
      <w:r w:rsidR="000D0ADC">
        <w:t>:</w:t>
      </w:r>
    </w:p>
    <w:p w14:paraId="35FF0183" w14:textId="2F5BEBCF" w:rsidR="00AF0EB8" w:rsidRDefault="00AF0EB8" w:rsidP="005125A2">
      <w:r>
        <w:t>See TS 36.423:</w:t>
      </w:r>
    </w:p>
    <w:p w14:paraId="72BB5D45" w14:textId="128F5748" w:rsidR="000D0ADC" w:rsidRDefault="000D0ADC" w:rsidP="000D0ADC">
      <w:pPr>
        <w:rPr>
          <w:highlight w:val="yellow"/>
        </w:rPr>
      </w:pPr>
      <w:r w:rsidRPr="00AF0EB8">
        <w:rPr>
          <w:highlight w:val="yellow"/>
        </w:rPr>
        <w:t>“For each CSG cell or hybrid cell served by the initiating eNB</w:t>
      </w:r>
      <w:r w:rsidRPr="00AF0EB8">
        <w:rPr>
          <w:highlight w:val="yellow"/>
          <w:vertAlign w:val="subscript"/>
        </w:rPr>
        <w:t>1</w:t>
      </w:r>
      <w:r w:rsidRPr="00AF0EB8">
        <w:rPr>
          <w:highlight w:val="yellow"/>
        </w:rPr>
        <w:t xml:space="preserve"> the X2 SETUP REQUEST message shall contain the </w:t>
      </w:r>
      <w:r w:rsidRPr="00AF0EB8">
        <w:rPr>
          <w:i/>
          <w:highlight w:val="yellow"/>
        </w:rPr>
        <w:t>CSG ID</w:t>
      </w:r>
      <w:r w:rsidRPr="00AF0EB8">
        <w:rPr>
          <w:highlight w:val="yellow"/>
        </w:rPr>
        <w:t xml:space="preserve"> IE. For each CSG cell or hybrid cell served by the candidate eNB</w:t>
      </w:r>
      <w:r w:rsidRPr="00AF0EB8">
        <w:rPr>
          <w:highlight w:val="yellow"/>
          <w:vertAlign w:val="subscript"/>
        </w:rPr>
        <w:t>2</w:t>
      </w:r>
      <w:r w:rsidRPr="00AF0EB8">
        <w:rPr>
          <w:highlight w:val="yellow"/>
        </w:rPr>
        <w:t xml:space="preserve"> the X2 SETUP RESPONSE message shall contain the </w:t>
      </w:r>
      <w:r w:rsidRPr="00AF0EB8">
        <w:rPr>
          <w:i/>
          <w:highlight w:val="yellow"/>
        </w:rPr>
        <w:t>CSG ID</w:t>
      </w:r>
      <w:r w:rsidRPr="00AF0EB8">
        <w:rPr>
          <w:highlight w:val="yellow"/>
        </w:rPr>
        <w:t xml:space="preserve"> IE. The eNB receiving the IE shall take this information into account when further deciding whether X2 handover between the source cell and the target cell may be performed.”</w:t>
      </w:r>
    </w:p>
    <w:p w14:paraId="37B75A36" w14:textId="1D2CFF3E" w:rsidR="000D0ADC" w:rsidRPr="00EB09F5" w:rsidRDefault="000D0ADC" w:rsidP="000D0ADC">
      <w:r>
        <w:t xml:space="preserve">This is in line also with the RAN slicing concept in </w:t>
      </w:r>
      <w:r w:rsidR="0050706F">
        <w:t xml:space="preserve">TS </w:t>
      </w:r>
      <w:r>
        <w:t>38.300:</w:t>
      </w:r>
    </w:p>
    <w:p w14:paraId="40BBC320" w14:textId="39AE3121" w:rsidR="007A2AF6" w:rsidRDefault="007A2AF6" w:rsidP="005125A2">
      <w:pPr>
        <w:rPr>
          <w:highlight w:val="yellow"/>
        </w:rPr>
      </w:pPr>
      <w:r w:rsidRPr="00AF0EB8">
        <w:rPr>
          <w:highlight w:val="yellow"/>
        </w:rPr>
        <w:t>“Awareness in the NG-RAN of the slices supported in the cells of its neighbours may be beneficial for inter-frequency mobility in connected mode.”</w:t>
      </w:r>
    </w:p>
    <w:p w14:paraId="6A9F8724" w14:textId="0A03B30B" w:rsidR="00267D93" w:rsidRDefault="00267D93" w:rsidP="005125A2">
      <w:r w:rsidRPr="00C9378A">
        <w:rPr>
          <w:b/>
        </w:rPr>
        <w:t>Observation</w:t>
      </w:r>
      <w:r>
        <w:rPr>
          <w:b/>
        </w:rPr>
        <w:t xml:space="preserve"> 4: Hybrid CSG based solution has already ways to optimise mobility in connected mode.</w:t>
      </w:r>
    </w:p>
    <w:p w14:paraId="549B0F60" w14:textId="7CB48501" w:rsidR="0038547E" w:rsidRDefault="00E308FC" w:rsidP="005125A2">
      <w:r>
        <w:t>A</w:t>
      </w:r>
      <w:r w:rsidR="00451F67">
        <w:t>s mentioned already earlier,</w:t>
      </w:r>
      <w:r w:rsidR="004F5C00">
        <w:t xml:space="preserve"> there is one further enhancement of the CSG concept that may be </w:t>
      </w:r>
      <w:r w:rsidR="0038547E">
        <w:t xml:space="preserve">considered </w:t>
      </w:r>
      <w:r w:rsidR="00451F67">
        <w:t xml:space="preserve">to fully meet the use case above: </w:t>
      </w:r>
      <w:r w:rsidR="0038547E">
        <w:t xml:space="preserve">up to now, </w:t>
      </w:r>
      <w:r w:rsidR="00451F67">
        <w:t xml:space="preserve">while a RAN node can support multiple CSGs, </w:t>
      </w:r>
      <w:r w:rsidR="00267D93">
        <w:t xml:space="preserve">i.e. </w:t>
      </w:r>
      <w:r w:rsidR="00451F67">
        <w:t>each ce</w:t>
      </w:r>
      <w:r w:rsidR="00C244A1">
        <w:t>l</w:t>
      </w:r>
      <w:r w:rsidR="00451F67">
        <w:t xml:space="preserve">l in the RAN Node only support one CSG ID. </w:t>
      </w:r>
      <w:r w:rsidR="0050706F">
        <w:t>Therefore</w:t>
      </w:r>
      <w:r w:rsidR="00970BAE">
        <w:t>,</w:t>
      </w:r>
      <w:r w:rsidR="00451F67">
        <w:t xml:space="preserve"> the support of multiple CSG IDs per cell (</w:t>
      </w:r>
      <w:r w:rsidR="0038547E">
        <w:t>especially if we assume like in this used case</w:t>
      </w:r>
      <w:r w:rsidR="00451F67">
        <w:t xml:space="preserve"> no need to broadcast them) could be considered as a straightforward enhancement.</w:t>
      </w:r>
      <w:r w:rsidR="004F5C00">
        <w:t xml:space="preserve"> </w:t>
      </w:r>
      <w:r w:rsidR="0038547E">
        <w:t>The expected impact in to</w:t>
      </w:r>
      <w:r w:rsidR="004F5C00">
        <w:t xml:space="preserve"> </w:t>
      </w:r>
      <w:r w:rsidR="0050706F">
        <w:t>TS</w:t>
      </w:r>
      <w:r w:rsidR="004F5C00">
        <w:t xml:space="preserve"> 36.423 clause </w:t>
      </w:r>
      <w:r w:rsidR="004F5C00" w:rsidRPr="004F5C00">
        <w:t>9.2.8</w:t>
      </w:r>
      <w:r w:rsidR="0050706F">
        <w:t xml:space="preserve"> “</w:t>
      </w:r>
      <w:r w:rsidR="0050706F" w:rsidRPr="00267D93">
        <w:rPr>
          <w:i/>
        </w:rPr>
        <w:t>S</w:t>
      </w:r>
      <w:r w:rsidR="004F5C00" w:rsidRPr="00267D93">
        <w:rPr>
          <w:i/>
        </w:rPr>
        <w:t>erved Cell Information</w:t>
      </w:r>
      <w:r w:rsidR="004F5C00">
        <w:t>”</w:t>
      </w:r>
      <w:r w:rsidR="0038547E">
        <w:t xml:space="preserve">. This IE </w:t>
      </w:r>
      <w:r w:rsidR="00400743">
        <w:t>is carried in the X2 SETUP REQUEST message and other X2 management messages</w:t>
      </w:r>
      <w:r w:rsidR="00970BAE">
        <w:t xml:space="preserve"> and this includes a single CSG ID</w:t>
      </w:r>
      <w:r w:rsidR="004F5C00">
        <w:t xml:space="preserve">. By providing a CSG ID list instead of </w:t>
      </w:r>
      <w:r w:rsidR="00400743">
        <w:t xml:space="preserve">one </w:t>
      </w:r>
      <w:r w:rsidR="004F5C00">
        <w:t>CSG ID only</w:t>
      </w:r>
      <w:r w:rsidR="00451F67">
        <w:t xml:space="preserve"> in this information, </w:t>
      </w:r>
      <w:r w:rsidR="0097692F">
        <w:t>th</w:t>
      </w:r>
      <w:r w:rsidR="004F5C00">
        <w:t xml:space="preserve">e </w:t>
      </w:r>
      <w:r w:rsidR="00400743">
        <w:t xml:space="preserve">advertisement over X2 </w:t>
      </w:r>
      <w:r w:rsidR="004F5C00">
        <w:t xml:space="preserve">of multiple CSG IDs per cell </w:t>
      </w:r>
      <w:r w:rsidR="00451F67">
        <w:t xml:space="preserve">would be </w:t>
      </w:r>
      <w:r w:rsidR="0097692F">
        <w:t>achieved.</w:t>
      </w:r>
      <w:r w:rsidR="004F5C00">
        <w:t xml:space="preserve"> </w:t>
      </w:r>
      <w:r w:rsidR="00C244A1">
        <w:t>Of course,</w:t>
      </w:r>
      <w:r w:rsidR="004F5C00">
        <w:t xml:space="preserve"> if the awarene</w:t>
      </w:r>
      <w:r w:rsidR="000105BF">
        <w:t>ss of neighbour cells support of</w:t>
      </w:r>
      <w:r w:rsidR="004F5C00">
        <w:t xml:space="preserve"> CSG</w:t>
      </w:r>
      <w:r w:rsidR="000105BF">
        <w:t>-IDs</w:t>
      </w:r>
      <w:r w:rsidR="004F5C00">
        <w:t xml:space="preserve"> was not needed (as proposed in the ARPI CR) then this enhancement also is not needed as we can configure locally a cell to support any number of CSG IDs and not advertise any over X2</w:t>
      </w:r>
      <w:r w:rsidR="00400743">
        <w:t xml:space="preserve"> (i.e. no standards impact</w:t>
      </w:r>
      <w:r w:rsidR="0038547E">
        <w:t xml:space="preserve"> of this enhancement</w:t>
      </w:r>
      <w:r w:rsidR="00400743">
        <w:t xml:space="preserve"> if we just ai</w:t>
      </w:r>
      <w:r w:rsidR="00400743" w:rsidRPr="0050706F">
        <w:t>med at mirroring the ARPI solution capabilities</w:t>
      </w:r>
      <w:r w:rsidR="008B6BF7">
        <w:t xml:space="preserve"> and not deliver a proper RAN feature </w:t>
      </w:r>
      <w:r w:rsidR="009645FB">
        <w:t>which entails some sharing of User Groups support between neighbours</w:t>
      </w:r>
      <w:r w:rsidR="00400743" w:rsidRPr="0050706F">
        <w:t>)</w:t>
      </w:r>
      <w:r w:rsidR="004F5C00" w:rsidRPr="0050706F">
        <w:t>.</w:t>
      </w:r>
      <w:r w:rsidR="00970BAE" w:rsidRPr="0050706F">
        <w:t xml:space="preserve"> </w:t>
      </w:r>
    </w:p>
    <w:p w14:paraId="7B981290" w14:textId="0173DABC" w:rsidR="004F5C00" w:rsidRDefault="00970BAE" w:rsidP="005125A2">
      <w:r w:rsidRPr="0050706F">
        <w:t xml:space="preserve">The broadcasting of the CSG ID seems not needed in this feature as per </w:t>
      </w:r>
      <w:hyperlink r:id="rId19" w:history="1">
        <w:r w:rsidRPr="0050706F">
          <w:rPr>
            <w:rStyle w:val="Hyperlink"/>
            <w:rFonts w:ascii="Times New Roman" w:hAnsi="Times New Roman"/>
            <w:szCs w:val="18"/>
          </w:rPr>
          <w:t>S2-1901970</w:t>
        </w:r>
      </w:hyperlink>
      <w:r w:rsidRPr="0050706F">
        <w:t xml:space="preserve"> [4]</w:t>
      </w:r>
      <w:r w:rsidR="0038547E">
        <w:t xml:space="preserve"> </w:t>
      </w:r>
      <w:r w:rsidRPr="0050706F">
        <w:t>use case and can be made optional for the operator to activate while the network side aspects of the feature is supported</w:t>
      </w:r>
      <w:r w:rsidRPr="00970BAE">
        <w:t>. This is to say that the broadcasting of CSG ID aspect of this feature may be considered if the use case evolved</w:t>
      </w:r>
      <w:r w:rsidR="009645FB">
        <w:t xml:space="preserve"> to require it</w:t>
      </w:r>
      <w:r w:rsidRPr="00970BAE">
        <w:t>. In that case we would need in all solutions a broadcasting of some information (the CSG ID then is already part of broadcast info and not the ARPI, of course).</w:t>
      </w:r>
    </w:p>
    <w:p w14:paraId="780AD483" w14:textId="4CC9019D" w:rsidR="00CE35DF" w:rsidRDefault="00E308FC" w:rsidP="005125A2">
      <w:r>
        <w:t>With respect to the necessary size of the identifier</w:t>
      </w:r>
      <w:r w:rsidR="00E56341">
        <w:t>, t</w:t>
      </w:r>
      <w:r w:rsidR="00646972">
        <w:t>he CSG membership information is 27 bits over S1-AP</w:t>
      </w:r>
      <w:r w:rsidR="00CE35DF">
        <w:t>.</w:t>
      </w:r>
    </w:p>
    <w:tbl>
      <w:tblPr>
        <w:tblStyle w:val="TableGrid"/>
        <w:tblW w:w="0" w:type="auto"/>
        <w:tblLook w:val="04A0" w:firstRow="1" w:lastRow="0" w:firstColumn="1" w:lastColumn="0" w:noHBand="0" w:noVBand="1"/>
      </w:tblPr>
      <w:tblGrid>
        <w:gridCol w:w="9629"/>
      </w:tblGrid>
      <w:tr w:rsidR="00CE35DF" w14:paraId="0E0AEE5F" w14:textId="77777777" w:rsidTr="00CE35DF">
        <w:tc>
          <w:tcPr>
            <w:tcW w:w="9629" w:type="dxa"/>
          </w:tcPr>
          <w:p w14:paraId="4A9B87E9" w14:textId="77777777" w:rsidR="00CE35DF" w:rsidRPr="00567372" w:rsidRDefault="00CE35DF" w:rsidP="00CE35DF">
            <w:pPr>
              <w:pStyle w:val="Heading4"/>
            </w:pPr>
            <w:r w:rsidRPr="00567372">
              <w:t>9.2.1.62</w:t>
            </w:r>
            <w:r w:rsidRPr="00567372">
              <w:tab/>
              <w:t>CSG Id</w:t>
            </w:r>
            <w:r w:rsidRPr="00567372">
              <w:rPr>
                <w:rFonts w:eastAsia="Batang"/>
              </w:rPr>
              <w:t xml:space="preserve"> </w:t>
            </w:r>
          </w:p>
          <w:p w14:paraId="4BB9C6B7" w14:textId="77777777" w:rsidR="00CE35DF" w:rsidRPr="00567372" w:rsidRDefault="00CE35DF" w:rsidP="00CE35DF">
            <w:r w:rsidRPr="00567372">
              <w:t>This information element indicates the identifier of the Closed Subscriber Group, as defined in TS 23.003 [21].</w:t>
            </w:r>
          </w:p>
          <w:tbl>
            <w:tblPr>
              <w:tblW w:w="9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78"/>
              <w:gridCol w:w="1104"/>
              <w:gridCol w:w="1694"/>
              <w:gridCol w:w="1738"/>
              <w:gridCol w:w="2835"/>
            </w:tblGrid>
            <w:tr w:rsidR="00CE35DF" w:rsidRPr="00567372" w14:paraId="647D395B" w14:textId="77777777" w:rsidTr="005B6963">
              <w:tc>
                <w:tcPr>
                  <w:tcW w:w="2578" w:type="dxa"/>
                </w:tcPr>
                <w:p w14:paraId="310948DA" w14:textId="77777777" w:rsidR="00CE35DF" w:rsidRPr="00567372" w:rsidRDefault="00CE35DF" w:rsidP="00CE35DF">
                  <w:pPr>
                    <w:pStyle w:val="TAH"/>
                    <w:rPr>
                      <w:rFonts w:cs="Arial"/>
                      <w:lang w:eastAsia="ja-JP"/>
                    </w:rPr>
                  </w:pPr>
                  <w:r w:rsidRPr="00567372">
                    <w:rPr>
                      <w:rFonts w:cs="Arial"/>
                      <w:lang w:eastAsia="ja-JP"/>
                    </w:rPr>
                    <w:t>IE/Group Name</w:t>
                  </w:r>
                </w:p>
              </w:tc>
              <w:tc>
                <w:tcPr>
                  <w:tcW w:w="1104" w:type="dxa"/>
                </w:tcPr>
                <w:p w14:paraId="4C3C9C06" w14:textId="77777777" w:rsidR="00CE35DF" w:rsidRPr="00567372" w:rsidRDefault="00CE35DF" w:rsidP="00CE35DF">
                  <w:pPr>
                    <w:pStyle w:val="TAH"/>
                    <w:rPr>
                      <w:rFonts w:cs="Arial"/>
                      <w:lang w:eastAsia="ja-JP"/>
                    </w:rPr>
                  </w:pPr>
                  <w:r w:rsidRPr="00567372">
                    <w:rPr>
                      <w:rFonts w:cs="Arial"/>
                      <w:lang w:eastAsia="ja-JP"/>
                    </w:rPr>
                    <w:t>Presence</w:t>
                  </w:r>
                </w:p>
              </w:tc>
              <w:tc>
                <w:tcPr>
                  <w:tcW w:w="1694" w:type="dxa"/>
                </w:tcPr>
                <w:p w14:paraId="4C3A814C" w14:textId="77777777" w:rsidR="00CE35DF" w:rsidRPr="00567372" w:rsidRDefault="00CE35DF" w:rsidP="00CE35DF">
                  <w:pPr>
                    <w:pStyle w:val="TAH"/>
                    <w:rPr>
                      <w:rFonts w:cs="Arial"/>
                      <w:lang w:eastAsia="ja-JP"/>
                    </w:rPr>
                  </w:pPr>
                  <w:r w:rsidRPr="00567372">
                    <w:rPr>
                      <w:rFonts w:cs="Arial"/>
                      <w:lang w:eastAsia="ja-JP"/>
                    </w:rPr>
                    <w:t>Range</w:t>
                  </w:r>
                </w:p>
              </w:tc>
              <w:tc>
                <w:tcPr>
                  <w:tcW w:w="1738" w:type="dxa"/>
                </w:tcPr>
                <w:p w14:paraId="7B7F28C2" w14:textId="77777777" w:rsidR="00CE35DF" w:rsidRPr="00567372" w:rsidRDefault="00CE35DF" w:rsidP="00CE35DF">
                  <w:pPr>
                    <w:pStyle w:val="TAH"/>
                    <w:rPr>
                      <w:rFonts w:cs="Arial"/>
                      <w:lang w:eastAsia="ja-JP"/>
                    </w:rPr>
                  </w:pPr>
                  <w:r w:rsidRPr="00567372">
                    <w:rPr>
                      <w:rFonts w:cs="Arial"/>
                      <w:lang w:eastAsia="ja-JP"/>
                    </w:rPr>
                    <w:t>IE type and reference</w:t>
                  </w:r>
                </w:p>
              </w:tc>
              <w:tc>
                <w:tcPr>
                  <w:tcW w:w="2835" w:type="dxa"/>
                </w:tcPr>
                <w:p w14:paraId="584B86BF" w14:textId="77777777" w:rsidR="00CE35DF" w:rsidRPr="00567372" w:rsidRDefault="00CE35DF" w:rsidP="00CE35DF">
                  <w:pPr>
                    <w:pStyle w:val="TAH"/>
                    <w:rPr>
                      <w:rFonts w:cs="Arial"/>
                      <w:lang w:eastAsia="ja-JP"/>
                    </w:rPr>
                  </w:pPr>
                  <w:r w:rsidRPr="00567372">
                    <w:rPr>
                      <w:rFonts w:cs="Arial"/>
                      <w:lang w:eastAsia="ja-JP"/>
                    </w:rPr>
                    <w:t>Semantics description</w:t>
                  </w:r>
                </w:p>
              </w:tc>
            </w:tr>
            <w:tr w:rsidR="00CE35DF" w:rsidRPr="00567372" w14:paraId="1EAAA24A" w14:textId="77777777" w:rsidTr="005B6963">
              <w:tc>
                <w:tcPr>
                  <w:tcW w:w="2578" w:type="dxa"/>
                </w:tcPr>
                <w:p w14:paraId="330E4E72" w14:textId="77777777" w:rsidR="00CE35DF" w:rsidRPr="00567372" w:rsidRDefault="00CE35DF" w:rsidP="00CE35DF">
                  <w:pPr>
                    <w:pStyle w:val="TAL"/>
                    <w:rPr>
                      <w:rFonts w:cs="Arial"/>
                      <w:lang w:eastAsia="ja-JP"/>
                    </w:rPr>
                  </w:pPr>
                  <w:r w:rsidRPr="00567372">
                    <w:rPr>
                      <w:rFonts w:cs="Arial"/>
                      <w:lang w:eastAsia="ja-JP"/>
                    </w:rPr>
                    <w:t>CSG Id</w:t>
                  </w:r>
                </w:p>
              </w:tc>
              <w:tc>
                <w:tcPr>
                  <w:tcW w:w="1104" w:type="dxa"/>
                </w:tcPr>
                <w:p w14:paraId="46E444F4" w14:textId="77777777" w:rsidR="00CE35DF" w:rsidRPr="00567372" w:rsidRDefault="00CE35DF" w:rsidP="00CE35DF">
                  <w:pPr>
                    <w:pStyle w:val="TAL"/>
                    <w:rPr>
                      <w:rFonts w:cs="Arial"/>
                      <w:lang w:eastAsia="ja-JP"/>
                    </w:rPr>
                  </w:pPr>
                  <w:r w:rsidRPr="00567372">
                    <w:rPr>
                      <w:rFonts w:cs="Arial"/>
                      <w:lang w:eastAsia="ja-JP"/>
                    </w:rPr>
                    <w:t>M</w:t>
                  </w:r>
                </w:p>
              </w:tc>
              <w:tc>
                <w:tcPr>
                  <w:tcW w:w="1694" w:type="dxa"/>
                </w:tcPr>
                <w:p w14:paraId="3E3620CE" w14:textId="77777777" w:rsidR="00CE35DF" w:rsidRPr="00567372" w:rsidRDefault="00CE35DF" w:rsidP="00CE35DF">
                  <w:pPr>
                    <w:pStyle w:val="TAL"/>
                    <w:rPr>
                      <w:rFonts w:cs="Arial"/>
                      <w:lang w:eastAsia="ja-JP"/>
                    </w:rPr>
                  </w:pPr>
                </w:p>
              </w:tc>
              <w:tc>
                <w:tcPr>
                  <w:tcW w:w="1738" w:type="dxa"/>
                </w:tcPr>
                <w:p w14:paraId="3D954259" w14:textId="77777777" w:rsidR="00CE35DF" w:rsidRPr="00567372" w:rsidRDefault="00CE35DF" w:rsidP="00CE35DF">
                  <w:pPr>
                    <w:pStyle w:val="TAL"/>
                    <w:rPr>
                      <w:rFonts w:cs="Arial"/>
                      <w:lang w:eastAsia="ja-JP"/>
                    </w:rPr>
                  </w:pPr>
                  <w:r w:rsidRPr="0011102D">
                    <w:rPr>
                      <w:rFonts w:cs="Arial"/>
                      <w:color w:val="FF0000"/>
                      <w:lang w:eastAsia="ja-JP"/>
                    </w:rPr>
                    <w:t>BIT STRING (SIZE (27))</w:t>
                  </w:r>
                </w:p>
              </w:tc>
              <w:tc>
                <w:tcPr>
                  <w:tcW w:w="2835" w:type="dxa"/>
                </w:tcPr>
                <w:p w14:paraId="221F1D10" w14:textId="77777777" w:rsidR="00CE35DF" w:rsidRPr="00567372" w:rsidRDefault="00CE35DF" w:rsidP="00CE35DF">
                  <w:pPr>
                    <w:pStyle w:val="TAL"/>
                    <w:rPr>
                      <w:rFonts w:cs="Arial"/>
                      <w:lang w:eastAsia="ja-JP"/>
                    </w:rPr>
                  </w:pPr>
                </w:p>
              </w:tc>
            </w:tr>
          </w:tbl>
          <w:p w14:paraId="1320C28F" w14:textId="77777777" w:rsidR="00CE35DF" w:rsidRPr="00567372" w:rsidRDefault="00CE35DF" w:rsidP="00CE35DF"/>
          <w:p w14:paraId="0077C69C" w14:textId="77777777" w:rsidR="00CE35DF" w:rsidRDefault="00CE35DF" w:rsidP="005125A2"/>
        </w:tc>
      </w:tr>
    </w:tbl>
    <w:p w14:paraId="38F30E4A" w14:textId="4D92B5E5" w:rsidR="00CE35DF" w:rsidRDefault="000A6B86" w:rsidP="000A6B86">
      <w:pPr>
        <w:pStyle w:val="TF"/>
      </w:pPr>
      <w:r>
        <w:t>CSG IE from TS 36.413</w:t>
      </w:r>
    </w:p>
    <w:p w14:paraId="122E8192" w14:textId="116B8AA1" w:rsidR="00E44835" w:rsidRDefault="00C244A1" w:rsidP="00E44835">
      <w:r w:rsidRPr="00E308FC">
        <w:rPr>
          <w:b/>
        </w:rPr>
        <w:t>T</w:t>
      </w:r>
      <w:r w:rsidR="00590DE7" w:rsidRPr="00E308FC">
        <w:rPr>
          <w:b/>
        </w:rPr>
        <w:t>he size of the CSG ID is adequate to meet the customer identification</w:t>
      </w:r>
      <w:r w:rsidR="00590DE7">
        <w:t>. There are</w:t>
      </w:r>
      <w:r w:rsidR="00E308FC">
        <w:t xml:space="preserve"> in fact</w:t>
      </w:r>
      <w:r w:rsidR="00590DE7">
        <w:t xml:space="preserve"> 27 bits for the CSG ID, and </w:t>
      </w:r>
      <w:r w:rsidR="0011102D">
        <w:t xml:space="preserve">the size of </w:t>
      </w:r>
      <w:r w:rsidR="00590DE7">
        <w:t>the SD field used for customer identification</w:t>
      </w:r>
      <w:r w:rsidR="002E0E62">
        <w:t xml:space="preserve"> in the S-NSSAI for network slicing</w:t>
      </w:r>
      <w:r w:rsidR="00590DE7">
        <w:t xml:space="preserve"> i</w:t>
      </w:r>
      <w:r w:rsidR="002E0E62">
        <w:t>n</w:t>
      </w:r>
      <w:r w:rsidR="00590DE7">
        <w:t xml:space="preserve"> 5GS slicing </w:t>
      </w:r>
      <w:r w:rsidR="0011102D">
        <w:t>is</w:t>
      </w:r>
      <w:r w:rsidR="00590DE7">
        <w:t xml:space="preserve"> 24 bits. So</w:t>
      </w:r>
      <w:r w:rsidR="002E0E62">
        <w:t>,</w:t>
      </w:r>
      <w:r w:rsidR="00590DE7">
        <w:t xml:space="preserve"> the CSG I</w:t>
      </w:r>
      <w:r w:rsidR="002E0E62">
        <w:t>D</w:t>
      </w:r>
      <w:r w:rsidR="00590DE7">
        <w:t xml:space="preserve"> allows identification of more enterprises than the SD field used in S-NSSAI.</w:t>
      </w:r>
    </w:p>
    <w:p w14:paraId="7336FB38" w14:textId="01A35C86" w:rsidR="00E308FC" w:rsidRDefault="00E308FC" w:rsidP="00E308FC">
      <w:r>
        <w:t xml:space="preserve">In addition, the </w:t>
      </w:r>
      <w:r w:rsidRPr="00E308FC">
        <w:rPr>
          <w:b/>
        </w:rPr>
        <w:t xml:space="preserve">charging aspects </w:t>
      </w:r>
      <w:r>
        <w:t>related to CSG are already in place so the feature impact on the system</w:t>
      </w:r>
      <w:r w:rsidR="00267D93">
        <w:t xml:space="preserve"> specifications</w:t>
      </w:r>
      <w:r>
        <w:t xml:space="preserve"> is rather </w:t>
      </w:r>
      <w:r w:rsidR="00267D93">
        <w:t>limited</w:t>
      </w:r>
      <w:r>
        <w:t>.</w:t>
      </w:r>
      <w:r w:rsidRPr="00E308FC">
        <w:rPr>
          <w:b/>
        </w:rPr>
        <w:t xml:space="preserve"> We ought to study how to reuse fully this wealth of specification material which is already existing with CSG</w:t>
      </w:r>
      <w:r>
        <w:t>.</w:t>
      </w:r>
    </w:p>
    <w:p w14:paraId="1C33C0B1" w14:textId="42B9E61F" w:rsidR="00E308FC" w:rsidRDefault="00E308FC" w:rsidP="00E308FC">
      <w:r>
        <w:t>See the following text from TS 23.401.</w:t>
      </w:r>
    </w:p>
    <w:tbl>
      <w:tblPr>
        <w:tblStyle w:val="TableGrid"/>
        <w:tblW w:w="0" w:type="auto"/>
        <w:tblLook w:val="04A0" w:firstRow="1" w:lastRow="0" w:firstColumn="1" w:lastColumn="0" w:noHBand="0" w:noVBand="1"/>
      </w:tblPr>
      <w:tblGrid>
        <w:gridCol w:w="9629"/>
      </w:tblGrid>
      <w:tr w:rsidR="00E308FC" w14:paraId="55C506CB" w14:textId="77777777" w:rsidTr="00BF2216">
        <w:tc>
          <w:tcPr>
            <w:tcW w:w="9629" w:type="dxa"/>
          </w:tcPr>
          <w:p w14:paraId="1F509A5E" w14:textId="77777777" w:rsidR="00E308FC" w:rsidRPr="00990165" w:rsidRDefault="00E308FC" w:rsidP="00BF2216">
            <w:r w:rsidRPr="00990165">
              <w:t xml:space="preserve">To enable CSG charging function for a subscriber consuming network services via a CSG cell or a hybrid cell, User CSG Information is transferred to the PDN GW as indicated by CSG Information Reporting Action. User CSG </w:t>
            </w:r>
            <w:r w:rsidRPr="00990165">
              <w:lastRenderedPageBreak/>
              <w:t>Information includes CSG ID, access mode and CSG membership indication. CSG membership indication of whether the UE is a member of the CSG is included if the access mode is hybrid.</w:t>
            </w:r>
          </w:p>
          <w:p w14:paraId="723EC7E9" w14:textId="77777777" w:rsidR="00E308FC" w:rsidRPr="00990165" w:rsidRDefault="00E308FC" w:rsidP="00BF2216">
            <w:r w:rsidRPr="00990165">
              <w:t>The valid CSG information shall be available in the serving GW and PDN GW in connected mode.</w:t>
            </w:r>
          </w:p>
          <w:p w14:paraId="1B16D3B8" w14:textId="4A1CCA89" w:rsidR="00E308FC" w:rsidRDefault="00E308FC" w:rsidP="008801C4">
            <w:r w:rsidRPr="00990165">
              <w:t xml:space="preserve">The PCRF shall, if deployed, provide User CSG Information reporting rules to the PDN GW at Attach and PDN Connectivity Request. PDN GW sets the CSG Information Reporting Action IE according to the User CSG Information reporting rules and sends it to </w:t>
            </w:r>
            <w:proofErr w:type="gramStart"/>
            <w:r w:rsidRPr="00990165">
              <w:t>Serving</w:t>
            </w:r>
            <w:proofErr w:type="gramEnd"/>
            <w:r w:rsidRPr="00990165">
              <w:t xml:space="preserve"> GW and MME.</w:t>
            </w:r>
          </w:p>
        </w:tc>
      </w:tr>
    </w:tbl>
    <w:p w14:paraId="5509C77D" w14:textId="77777777" w:rsidR="00E308FC" w:rsidRDefault="00E308FC" w:rsidP="00E44835"/>
    <w:p w14:paraId="0F08B5C7" w14:textId="507DAE39" w:rsidR="0050706F" w:rsidRPr="00E44835" w:rsidRDefault="0050706F" w:rsidP="00E44835">
      <w:r w:rsidRPr="00E44835">
        <w:t xml:space="preserve">Finally, the </w:t>
      </w:r>
      <w:r w:rsidRPr="00E308FC">
        <w:rPr>
          <w:b/>
        </w:rPr>
        <w:t>ARPI concept coexistence with CSG</w:t>
      </w:r>
      <w:r w:rsidRPr="00E44835">
        <w:t xml:space="preserve"> is not clear</w:t>
      </w:r>
      <w:r w:rsidR="00267D93">
        <w:t>, if it were to be introduced</w:t>
      </w:r>
      <w:r w:rsidRPr="00E44835">
        <w:t>.</w:t>
      </w:r>
    </w:p>
    <w:p w14:paraId="6AF70CF2" w14:textId="20A898AA" w:rsidR="0062525E" w:rsidRDefault="00E44835" w:rsidP="0062525E">
      <w:pPr>
        <w:pStyle w:val="Heading1"/>
      </w:pPr>
      <w:r>
        <w:t>P</w:t>
      </w:r>
      <w:r w:rsidR="0062525E">
        <w:t>roposal</w:t>
      </w:r>
    </w:p>
    <w:p w14:paraId="798A7BF0" w14:textId="48D2FE14" w:rsidR="00E44835" w:rsidRDefault="00E44835" w:rsidP="00267D93">
      <w:pPr>
        <w:rPr>
          <w:b/>
        </w:rPr>
      </w:pPr>
      <w:r>
        <w:rPr>
          <w:b/>
        </w:rPr>
        <w:t xml:space="preserve"> </w:t>
      </w:r>
      <w:r w:rsidRPr="00E44835">
        <w:rPr>
          <w:b/>
        </w:rPr>
        <w:t>As described in the discussion part of this document</w:t>
      </w:r>
      <w:r w:rsidR="00906CEC">
        <w:rPr>
          <w:b/>
        </w:rPr>
        <w:t>,</w:t>
      </w:r>
      <w:r w:rsidRPr="00E44835">
        <w:rPr>
          <w:b/>
        </w:rPr>
        <w:t xml:space="preserve"> there are various points which should</w:t>
      </w:r>
      <w:r w:rsidR="00E308FC">
        <w:rPr>
          <w:b/>
        </w:rPr>
        <w:t xml:space="preserve"> be</w:t>
      </w:r>
      <w:r w:rsidRPr="00E44835">
        <w:rPr>
          <w:b/>
        </w:rPr>
        <w:t xml:space="preserve"> discussed and agreed in RAN WGs. As there is still ample time to complete release 16, it is proposed that TSG SA</w:t>
      </w:r>
      <w:r w:rsidR="00906CEC">
        <w:rPr>
          <w:b/>
        </w:rPr>
        <w:t>#83 holds</w:t>
      </w:r>
      <w:r w:rsidR="009645FB">
        <w:rPr>
          <w:b/>
        </w:rPr>
        <w:t xml:space="preserve"> the</w:t>
      </w:r>
      <w:r w:rsidRPr="00E44835">
        <w:rPr>
          <w:b/>
        </w:rPr>
        <w:t xml:space="preserve"> approval of SA2 CR </w:t>
      </w:r>
      <w:hyperlink r:id="rId20" w:history="1">
        <w:r w:rsidRPr="0050706F">
          <w:rPr>
            <w:rStyle w:val="Hyperlink"/>
            <w:rFonts w:ascii="Times New Roman" w:hAnsi="Times New Roman"/>
            <w:b/>
            <w:szCs w:val="18"/>
          </w:rPr>
          <w:t>S2-1902896</w:t>
        </w:r>
      </w:hyperlink>
      <w:r w:rsidR="008E73BC">
        <w:rPr>
          <w:rStyle w:val="Hyperlink"/>
          <w:rFonts w:ascii="Times New Roman" w:hAnsi="Times New Roman"/>
          <w:b/>
          <w:szCs w:val="18"/>
        </w:rPr>
        <w:t xml:space="preserve"> </w:t>
      </w:r>
      <w:r w:rsidR="008E73BC">
        <w:rPr>
          <w:b/>
        </w:rPr>
        <w:t>[3]</w:t>
      </w:r>
      <w:r w:rsidR="00906CEC" w:rsidRPr="00906CEC">
        <w:rPr>
          <w:b/>
        </w:rPr>
        <w:t>(</w:t>
      </w:r>
      <w:r w:rsidR="00906CEC">
        <w:rPr>
          <w:b/>
        </w:rPr>
        <w:t xml:space="preserve">which is </w:t>
      </w:r>
      <w:r w:rsidR="00906CEC" w:rsidRPr="00906CEC">
        <w:rPr>
          <w:b/>
        </w:rPr>
        <w:t>23.401 CR 3499</w:t>
      </w:r>
      <w:r w:rsidR="00906CEC">
        <w:rPr>
          <w:b/>
        </w:rPr>
        <w:t xml:space="preserve"> on “</w:t>
      </w:r>
      <w:r w:rsidR="00906CEC" w:rsidRPr="00906CEC">
        <w:rPr>
          <w:b/>
        </w:rPr>
        <w:t>Subscriber RRM Group as additional parameter to SPID/RFSP</w:t>
      </w:r>
      <w:r w:rsidR="00906CEC">
        <w:rPr>
          <w:b/>
        </w:rPr>
        <w:t>”</w:t>
      </w:r>
      <w:r w:rsidR="00906CEC" w:rsidRPr="00906CEC">
        <w:rPr>
          <w:b/>
        </w:rPr>
        <w:t xml:space="preserve"> in SP-190175</w:t>
      </w:r>
      <w:r w:rsidR="00906CEC">
        <w:t>)</w:t>
      </w:r>
      <w:r w:rsidR="008E73BC">
        <w:rPr>
          <w:b/>
        </w:rPr>
        <w:t xml:space="preserve"> </w:t>
      </w:r>
      <w:r>
        <w:rPr>
          <w:b/>
        </w:rPr>
        <w:t>u</w:t>
      </w:r>
      <w:r w:rsidRPr="00E44835">
        <w:rPr>
          <w:b/>
        </w:rPr>
        <w:t>ntil RAN2 and RAN3 have had an opportunity to analyse</w:t>
      </w:r>
      <w:r w:rsidR="00267D93">
        <w:rPr>
          <w:b/>
        </w:rPr>
        <w:t xml:space="preserve"> the</w:t>
      </w:r>
      <w:r w:rsidRPr="00E44835">
        <w:rPr>
          <w:b/>
        </w:rPr>
        <w:t xml:space="preserve"> feature proposa</w:t>
      </w:r>
      <w:r w:rsidR="00E308FC">
        <w:rPr>
          <w:b/>
        </w:rPr>
        <w:t>l</w:t>
      </w:r>
      <w:r w:rsidR="00906CEC">
        <w:rPr>
          <w:b/>
        </w:rPr>
        <w:t xml:space="preserve"> subject of the LS in </w:t>
      </w:r>
      <w:hyperlink r:id="rId21" w:tgtFrame="_blank" w:history="1">
        <w:r w:rsidR="00906CEC" w:rsidRPr="00906CEC">
          <w:rPr>
            <w:rStyle w:val="Hyperlink"/>
            <w:rFonts w:ascii="Times New Roman" w:hAnsi="Times New Roman"/>
            <w:b/>
            <w:szCs w:val="18"/>
          </w:rPr>
          <w:t>SP-190147</w:t>
        </w:r>
      </w:hyperlink>
      <w:r w:rsidR="00906CEC" w:rsidRPr="00906CEC">
        <w:rPr>
          <w:b/>
        </w:rPr>
        <w:t xml:space="preserve"> </w:t>
      </w:r>
      <w:r w:rsidR="00906CEC">
        <w:rPr>
          <w:b/>
        </w:rPr>
        <w:t>[1]</w:t>
      </w:r>
      <w:r w:rsidRPr="00E44835">
        <w:rPr>
          <w:b/>
        </w:rPr>
        <w:t xml:space="preserve">. </w:t>
      </w:r>
    </w:p>
    <w:p w14:paraId="39A83412" w14:textId="0F6A704E" w:rsidR="00B10CD1" w:rsidRDefault="00B10CD1" w:rsidP="00B10CD1">
      <w:pPr>
        <w:pStyle w:val="Heading1"/>
      </w:pPr>
      <w:r>
        <w:t>References</w:t>
      </w:r>
    </w:p>
    <w:p w14:paraId="01632BDE" w14:textId="5607CA49" w:rsidR="00B10CD1" w:rsidRPr="0050706F" w:rsidRDefault="007C321D" w:rsidP="007C321D">
      <w:pPr>
        <w:rPr>
          <w:b/>
          <w:bCs/>
        </w:rPr>
      </w:pPr>
      <w:r w:rsidRPr="0050706F">
        <w:t xml:space="preserve">[1] </w:t>
      </w:r>
      <w:hyperlink r:id="rId22" w:history="1">
        <w:r w:rsidRPr="0050706F">
          <w:rPr>
            <w:rStyle w:val="Hyperlink"/>
            <w:rFonts w:ascii="Times New Roman" w:hAnsi="Times New Roman"/>
            <w:szCs w:val="18"/>
          </w:rPr>
          <w:t>S2-1902908</w:t>
        </w:r>
      </w:hyperlink>
      <w:r w:rsidR="008E73BC">
        <w:rPr>
          <w:rStyle w:val="Hyperlink"/>
          <w:rFonts w:ascii="Times New Roman" w:hAnsi="Times New Roman"/>
          <w:szCs w:val="18"/>
        </w:rPr>
        <w:t xml:space="preserve">, </w:t>
      </w:r>
      <w:hyperlink r:id="rId23" w:tgtFrame="_blank" w:history="1">
        <w:r w:rsidR="008E73BC" w:rsidRPr="008E73BC">
          <w:rPr>
            <w:rStyle w:val="Hyperlink"/>
            <w:rFonts w:ascii="Times New Roman" w:hAnsi="Times New Roman"/>
            <w:szCs w:val="18"/>
          </w:rPr>
          <w:t>SP-190147</w:t>
        </w:r>
      </w:hyperlink>
      <w:r w:rsidR="004A0DA8" w:rsidRPr="0050706F">
        <w:rPr>
          <w:bCs/>
        </w:rPr>
        <w:t>;”L</w:t>
      </w:r>
      <w:r w:rsidRPr="0050706F">
        <w:rPr>
          <w:bCs/>
        </w:rPr>
        <w:t>S on EPS Additional RRM Policy Index”</w:t>
      </w:r>
      <w:r w:rsidR="006F5234" w:rsidRPr="0050706F">
        <w:t xml:space="preserve"> </w:t>
      </w:r>
      <w:r w:rsidR="006F5234" w:rsidRPr="0050706F">
        <w:rPr>
          <w:bCs/>
        </w:rPr>
        <w:t>S2-1902869</w:t>
      </w:r>
      <w:r w:rsidR="0050706F">
        <w:rPr>
          <w:bCs/>
        </w:rPr>
        <w:t xml:space="preserve"> </w:t>
      </w:r>
    </w:p>
    <w:p w14:paraId="653353E3" w14:textId="6985901A" w:rsidR="007C321D" w:rsidRPr="0050706F" w:rsidRDefault="007C321D" w:rsidP="007C321D">
      <w:pPr>
        <w:rPr>
          <w:bCs/>
        </w:rPr>
      </w:pPr>
      <w:r w:rsidRPr="0050706F">
        <w:t xml:space="preserve">[2] </w:t>
      </w:r>
      <w:hyperlink r:id="rId24" w:history="1">
        <w:r w:rsidRPr="0050706F">
          <w:rPr>
            <w:rStyle w:val="Hyperlink"/>
            <w:rFonts w:ascii="Times New Roman" w:hAnsi="Times New Roman"/>
            <w:szCs w:val="18"/>
          </w:rPr>
          <w:t>S2-1902053</w:t>
        </w:r>
      </w:hyperlink>
      <w:bookmarkStart w:id="2" w:name="_Hlk3191894"/>
      <w:r w:rsidR="004A0DA8" w:rsidRPr="0050706F">
        <w:rPr>
          <w:bCs/>
        </w:rPr>
        <w:t>;”T</w:t>
      </w:r>
      <w:r w:rsidRPr="0050706F">
        <w:rPr>
          <w:bCs/>
        </w:rPr>
        <w:t>EI-16 in S2-1813343 (RFSP enhancement)</w:t>
      </w:r>
      <w:bookmarkEnd w:id="2"/>
      <w:r w:rsidRPr="0050706F">
        <w:rPr>
          <w:bCs/>
        </w:rPr>
        <w:t>”, Nokia, Nokia Shanghai Bell, Qualcomm Incorporated.</w:t>
      </w:r>
    </w:p>
    <w:p w14:paraId="4715012F" w14:textId="6ED574DC" w:rsidR="006F5234" w:rsidRPr="0050706F" w:rsidRDefault="006F5234" w:rsidP="007C321D">
      <w:pPr>
        <w:rPr>
          <w:bCs/>
        </w:rPr>
      </w:pPr>
      <w:r w:rsidRPr="0050706F">
        <w:t xml:space="preserve">[3] </w:t>
      </w:r>
      <w:hyperlink r:id="rId25" w:history="1">
        <w:r w:rsidRPr="0050706F">
          <w:rPr>
            <w:rStyle w:val="Hyperlink"/>
            <w:rFonts w:ascii="Times New Roman" w:hAnsi="Times New Roman"/>
            <w:szCs w:val="18"/>
          </w:rPr>
          <w:t>S2-1902896</w:t>
        </w:r>
      </w:hyperlink>
      <w:r w:rsidR="004A0DA8" w:rsidRPr="0050706F">
        <w:rPr>
          <w:bCs/>
        </w:rPr>
        <w:t>;“Subscriber RRM Group as additional parameter to SPID/RFSP”, Vodafone et. al</w:t>
      </w:r>
    </w:p>
    <w:p w14:paraId="731EE868" w14:textId="62A0075F" w:rsidR="004A0DA8" w:rsidRPr="0050706F" w:rsidRDefault="004A0DA8" w:rsidP="004A0DA8">
      <w:pPr>
        <w:rPr>
          <w:bCs/>
        </w:rPr>
      </w:pPr>
      <w:r w:rsidRPr="0050706F">
        <w:t xml:space="preserve">[4] </w:t>
      </w:r>
      <w:bookmarkStart w:id="3" w:name="_Hlk3197115"/>
      <w:r w:rsidRPr="0050706F">
        <w:rPr>
          <w:rStyle w:val="Hyperlink"/>
          <w:rFonts w:ascii="Times New Roman" w:hAnsi="Times New Roman"/>
          <w:szCs w:val="18"/>
        </w:rPr>
        <w:fldChar w:fldCharType="begin"/>
      </w:r>
      <w:r w:rsidRPr="0050706F">
        <w:rPr>
          <w:rStyle w:val="Hyperlink"/>
          <w:rFonts w:ascii="Times New Roman" w:hAnsi="Times New Roman"/>
          <w:szCs w:val="18"/>
        </w:rPr>
        <w:instrText>HYPERLINK "http://www.3gpp.org/ftp/tsg_sa/WG2_Arch/TSGS2_131_Tenerife/Docs/S2-1901970.zip"</w:instrText>
      </w:r>
      <w:r w:rsidRPr="0050706F">
        <w:rPr>
          <w:rStyle w:val="Hyperlink"/>
          <w:rFonts w:ascii="Times New Roman" w:hAnsi="Times New Roman"/>
          <w:szCs w:val="18"/>
        </w:rPr>
        <w:fldChar w:fldCharType="separate"/>
      </w:r>
      <w:r w:rsidRPr="0050706F">
        <w:rPr>
          <w:rStyle w:val="Hyperlink"/>
          <w:rFonts w:ascii="Times New Roman" w:hAnsi="Times New Roman"/>
          <w:szCs w:val="18"/>
        </w:rPr>
        <w:t>S2-1901970</w:t>
      </w:r>
      <w:r w:rsidRPr="0050706F">
        <w:rPr>
          <w:rStyle w:val="Hyperlink"/>
          <w:rFonts w:ascii="Times New Roman" w:hAnsi="Times New Roman"/>
          <w:szCs w:val="18"/>
        </w:rPr>
        <w:fldChar w:fldCharType="end"/>
      </w:r>
      <w:r w:rsidRPr="0050706F">
        <w:rPr>
          <w:bCs/>
        </w:rPr>
        <w:t>;“</w:t>
      </w:r>
      <w:r w:rsidR="00AF0EB8" w:rsidRPr="0050706F">
        <w:t xml:space="preserve"> </w:t>
      </w:r>
      <w:r w:rsidR="00AF0EB8" w:rsidRPr="0050706F">
        <w:rPr>
          <w:bCs/>
        </w:rPr>
        <w:t>EPS SPID/RFSP concept extension/alternativeTEI-16 Proposal</w:t>
      </w:r>
      <w:r w:rsidRPr="0050706F">
        <w:rPr>
          <w:bCs/>
        </w:rPr>
        <w:t>”, Vodafone et. al</w:t>
      </w:r>
      <w:bookmarkEnd w:id="3"/>
    </w:p>
    <w:p w14:paraId="0D89CBD2" w14:textId="47D6D7F9" w:rsidR="004D5922" w:rsidRPr="0050706F" w:rsidRDefault="004D5922" w:rsidP="004D5922">
      <w:pPr>
        <w:rPr>
          <w:bCs/>
        </w:rPr>
      </w:pPr>
      <w:r w:rsidRPr="0050706F">
        <w:t xml:space="preserve">[5] </w:t>
      </w:r>
      <w:hyperlink r:id="rId26" w:history="1">
        <w:r w:rsidRPr="0050706F">
          <w:rPr>
            <w:rStyle w:val="Hyperlink"/>
            <w:rFonts w:ascii="Times New Roman" w:hAnsi="Times New Roman"/>
            <w:szCs w:val="18"/>
          </w:rPr>
          <w:t>S2-1901990</w:t>
        </w:r>
      </w:hyperlink>
      <w:r w:rsidRPr="0050706F">
        <w:rPr>
          <w:bCs/>
        </w:rPr>
        <w:t>;“</w:t>
      </w:r>
      <w:r w:rsidRPr="0050706F">
        <w:t xml:space="preserve"> </w:t>
      </w:r>
      <w:r w:rsidRPr="0050706F">
        <w:rPr>
          <w:bCs/>
        </w:rPr>
        <w:t>Comparison of RFSP based concept and Hybrid CSG based concept”, Vodafone</w:t>
      </w:r>
      <w:r w:rsidR="00AF0EB8" w:rsidRPr="0050706F">
        <w:rPr>
          <w:bCs/>
        </w:rPr>
        <w:t xml:space="preserve"> S2-1901391</w:t>
      </w:r>
    </w:p>
    <w:p w14:paraId="18285303" w14:textId="6CE870B6" w:rsidR="00AF0EB8" w:rsidRPr="0050706F" w:rsidRDefault="00AF0EB8" w:rsidP="004D5922">
      <w:r w:rsidRPr="0050706F">
        <w:t>[</w:t>
      </w:r>
      <w:r w:rsidR="00F928F8" w:rsidRPr="0050706F">
        <w:t>6</w:t>
      </w:r>
      <w:r w:rsidRPr="0050706F">
        <w:t xml:space="preserve">] </w:t>
      </w:r>
      <w:bookmarkStart w:id="4" w:name="_Hlk3196951"/>
      <w:r w:rsidRPr="0050706F">
        <w:rPr>
          <w:rStyle w:val="Hyperlink"/>
          <w:rFonts w:ascii="Times New Roman" w:hAnsi="Times New Roman"/>
          <w:szCs w:val="18"/>
        </w:rPr>
        <w:fldChar w:fldCharType="begin"/>
      </w:r>
      <w:r w:rsidR="00BF2216">
        <w:rPr>
          <w:rStyle w:val="Hyperlink"/>
          <w:rFonts w:ascii="Times New Roman" w:hAnsi="Times New Roman"/>
          <w:szCs w:val="18"/>
        </w:rPr>
        <w:instrText>HYPERLINK "ftp://ftp.3gpp.org/tsg_sa/WG2_Arch/TSGS2_131_Tenerife/Docs/S2-1902898.zip"</w:instrText>
      </w:r>
      <w:r w:rsidRPr="0050706F">
        <w:rPr>
          <w:rStyle w:val="Hyperlink"/>
          <w:rFonts w:ascii="Times New Roman" w:hAnsi="Times New Roman"/>
          <w:szCs w:val="18"/>
        </w:rPr>
        <w:fldChar w:fldCharType="separate"/>
      </w:r>
      <w:r w:rsidRPr="0050706F">
        <w:rPr>
          <w:rStyle w:val="Hyperlink"/>
          <w:rFonts w:ascii="Times New Roman" w:hAnsi="Times New Roman"/>
          <w:szCs w:val="18"/>
        </w:rPr>
        <w:t>S2-190</w:t>
      </w:r>
      <w:r w:rsidR="00BF2216">
        <w:rPr>
          <w:rStyle w:val="Hyperlink"/>
          <w:rFonts w:ascii="Times New Roman" w:hAnsi="Times New Roman"/>
          <w:szCs w:val="18"/>
        </w:rPr>
        <w:t>2898</w:t>
      </w:r>
      <w:r w:rsidRPr="0050706F">
        <w:rPr>
          <w:rStyle w:val="Hyperlink"/>
          <w:rFonts w:ascii="Times New Roman" w:hAnsi="Times New Roman"/>
          <w:szCs w:val="18"/>
        </w:rPr>
        <w:fldChar w:fldCharType="end"/>
      </w:r>
      <w:r w:rsidRPr="0050706F">
        <w:rPr>
          <w:bCs/>
        </w:rPr>
        <w:t>;</w:t>
      </w:r>
      <w:r w:rsidR="0050706F" w:rsidRPr="0050706F">
        <w:rPr>
          <w:bCs/>
        </w:rPr>
        <w:t xml:space="preserve"> TS </w:t>
      </w:r>
      <w:r w:rsidRPr="0050706F">
        <w:rPr>
          <w:bCs/>
        </w:rPr>
        <w:t>23.501 CR 757</w:t>
      </w:r>
      <w:r w:rsidR="00F928F8" w:rsidRPr="0050706F">
        <w:rPr>
          <w:bCs/>
        </w:rPr>
        <w:t xml:space="preserve"> </w:t>
      </w:r>
      <w:r w:rsidRPr="0050706F">
        <w:rPr>
          <w:bCs/>
        </w:rPr>
        <w:t>“</w:t>
      </w:r>
      <w:r w:rsidR="00F928F8" w:rsidRPr="0050706F">
        <w:rPr>
          <w:bCs/>
        </w:rPr>
        <w:t>Introducing support for Non-Public Networks</w:t>
      </w:r>
      <w:r w:rsidRPr="0050706F">
        <w:rPr>
          <w:bCs/>
        </w:rPr>
        <w:t>”,</w:t>
      </w:r>
      <w:r w:rsidRPr="0050706F">
        <w:rPr>
          <w:noProof/>
        </w:rPr>
        <w:t xml:space="preserve"> Ericsson, Nokia, Nokia Shanghai Bell, Qualcomm</w:t>
      </w:r>
    </w:p>
    <w:bookmarkEnd w:id="4"/>
    <w:p w14:paraId="068C2CD0" w14:textId="77777777" w:rsidR="00BF2216" w:rsidRPr="00B10CD1" w:rsidRDefault="00BF2216" w:rsidP="007C321D"/>
    <w:sectPr w:rsidR="00BF2216" w:rsidRPr="00B10CD1">
      <w:headerReference w:type="even" r:id="rId27"/>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F9A46" w14:textId="77777777" w:rsidR="00B95A3E" w:rsidRDefault="00B95A3E">
      <w:pPr>
        <w:spacing w:after="0"/>
      </w:pPr>
      <w:r>
        <w:separator/>
      </w:r>
    </w:p>
  </w:endnote>
  <w:endnote w:type="continuationSeparator" w:id="0">
    <w:p w14:paraId="1D67E399" w14:textId="77777777" w:rsidR="00B95A3E" w:rsidRDefault="00B95A3E">
      <w:pPr>
        <w:spacing w:after="0"/>
      </w:pPr>
      <w:r>
        <w:continuationSeparator/>
      </w:r>
    </w:p>
  </w:endnote>
  <w:endnote w:type="continuationNotice" w:id="1">
    <w:p w14:paraId="67E37F8D" w14:textId="77777777" w:rsidR="00B95A3E" w:rsidRDefault="00B95A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Nokia Pure Text Light">
    <w:panose1 w:val="020B0304040602060303"/>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ECDCB" w14:textId="77777777" w:rsidR="00B95A3E" w:rsidRDefault="00B95A3E">
      <w:pPr>
        <w:spacing w:after="0"/>
      </w:pPr>
      <w:r>
        <w:separator/>
      </w:r>
    </w:p>
  </w:footnote>
  <w:footnote w:type="continuationSeparator" w:id="0">
    <w:p w14:paraId="6775F3C9" w14:textId="77777777" w:rsidR="00B95A3E" w:rsidRDefault="00B95A3E">
      <w:pPr>
        <w:spacing w:after="0"/>
      </w:pPr>
      <w:r>
        <w:continuationSeparator/>
      </w:r>
    </w:p>
  </w:footnote>
  <w:footnote w:type="continuationNotice" w:id="1">
    <w:p w14:paraId="7CE3AFCF" w14:textId="77777777" w:rsidR="00B95A3E" w:rsidRDefault="00B95A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B423A" w14:textId="77777777" w:rsidR="003F02A8" w:rsidRDefault="003F02A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60FD4" w14:textId="77777777" w:rsidR="003F02A8" w:rsidRPr="00660390" w:rsidRDefault="003F02A8"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1</w:t>
    </w:r>
    <w:r w:rsidRPr="00E801CE">
      <w:rPr>
        <w:rFonts w:ascii="Arial" w:hAnsi="Arial" w:cs="Arial"/>
        <w:b/>
        <w:sz w:val="18"/>
        <w:szCs w:val="18"/>
        <w:lang w:val="fr-FR"/>
      </w:rPr>
      <w:fldChar w:fldCharType="end"/>
    </w:r>
  </w:p>
  <w:p w14:paraId="776A24F5" w14:textId="77777777" w:rsidR="003F02A8" w:rsidRPr="00EA7F16" w:rsidRDefault="003F02A8">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510B41"/>
    <w:multiLevelType w:val="hybridMultilevel"/>
    <w:tmpl w:val="AB60F296"/>
    <w:lvl w:ilvl="0" w:tplc="1B36345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A01C38"/>
    <w:multiLevelType w:val="hybridMultilevel"/>
    <w:tmpl w:val="F0E6626A"/>
    <w:lvl w:ilvl="0" w:tplc="2C26F25A">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5123237"/>
    <w:multiLevelType w:val="hybridMultilevel"/>
    <w:tmpl w:val="B55E73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3"/>
  </w:num>
  <w:num w:numId="2">
    <w:abstractNumId w:val="5"/>
  </w:num>
  <w:num w:numId="3">
    <w:abstractNumId w:val="6"/>
  </w:num>
  <w:num w:numId="4">
    <w:abstractNumId w:val="2"/>
  </w:num>
  <w:num w:numId="5">
    <w:abstractNumId w:val="9"/>
  </w:num>
  <w:num w:numId="6">
    <w:abstractNumId w:val="0"/>
  </w:num>
  <w:num w:numId="7">
    <w:abstractNumId w:val="8"/>
  </w:num>
  <w:num w:numId="8">
    <w:abstractNumId w:val="10"/>
  </w:num>
  <w:num w:numId="9">
    <w:abstractNumId w:val="4"/>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15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F84"/>
    <w:rsid w:val="0000492C"/>
    <w:rsid w:val="000105BF"/>
    <w:rsid w:val="00024B82"/>
    <w:rsid w:val="00033CDE"/>
    <w:rsid w:val="000675F3"/>
    <w:rsid w:val="000678BC"/>
    <w:rsid w:val="00086C67"/>
    <w:rsid w:val="00097F1C"/>
    <w:rsid w:val="000A6B86"/>
    <w:rsid w:val="000A7C0C"/>
    <w:rsid w:val="000D0ADC"/>
    <w:rsid w:val="000D2958"/>
    <w:rsid w:val="000D6204"/>
    <w:rsid w:val="000E22CF"/>
    <w:rsid w:val="00107FBE"/>
    <w:rsid w:val="0011102D"/>
    <w:rsid w:val="00117565"/>
    <w:rsid w:val="001270E1"/>
    <w:rsid w:val="00144063"/>
    <w:rsid w:val="001442F2"/>
    <w:rsid w:val="00160E7D"/>
    <w:rsid w:val="00196B0A"/>
    <w:rsid w:val="001A7EFF"/>
    <w:rsid w:val="001B255E"/>
    <w:rsid w:val="001C4176"/>
    <w:rsid w:val="001E16BF"/>
    <w:rsid w:val="00267D93"/>
    <w:rsid w:val="00274B1D"/>
    <w:rsid w:val="002855C1"/>
    <w:rsid w:val="00285630"/>
    <w:rsid w:val="00291F6E"/>
    <w:rsid w:val="002B5F57"/>
    <w:rsid w:val="002B74E6"/>
    <w:rsid w:val="002E0E62"/>
    <w:rsid w:val="002E4C82"/>
    <w:rsid w:val="002F0756"/>
    <w:rsid w:val="00300F84"/>
    <w:rsid w:val="003040E8"/>
    <w:rsid w:val="0030653D"/>
    <w:rsid w:val="00307A66"/>
    <w:rsid w:val="0031767B"/>
    <w:rsid w:val="00331D81"/>
    <w:rsid w:val="003441E2"/>
    <w:rsid w:val="0034748A"/>
    <w:rsid w:val="003518D3"/>
    <w:rsid w:val="003573D5"/>
    <w:rsid w:val="003774D7"/>
    <w:rsid w:val="0038547E"/>
    <w:rsid w:val="003A73DB"/>
    <w:rsid w:val="003C6908"/>
    <w:rsid w:val="003D0B5C"/>
    <w:rsid w:val="003D60EA"/>
    <w:rsid w:val="003F02A8"/>
    <w:rsid w:val="003F36E7"/>
    <w:rsid w:val="00400743"/>
    <w:rsid w:val="00407963"/>
    <w:rsid w:val="00427258"/>
    <w:rsid w:val="00451F67"/>
    <w:rsid w:val="004563FA"/>
    <w:rsid w:val="0046133A"/>
    <w:rsid w:val="004942A7"/>
    <w:rsid w:val="0049785C"/>
    <w:rsid w:val="004A0DA8"/>
    <w:rsid w:val="004D3A71"/>
    <w:rsid w:val="004D5922"/>
    <w:rsid w:val="004E5166"/>
    <w:rsid w:val="004F5C00"/>
    <w:rsid w:val="0050366C"/>
    <w:rsid w:val="00505A4A"/>
    <w:rsid w:val="0050706F"/>
    <w:rsid w:val="005125A2"/>
    <w:rsid w:val="00514FBA"/>
    <w:rsid w:val="00542301"/>
    <w:rsid w:val="005567BA"/>
    <w:rsid w:val="0056659A"/>
    <w:rsid w:val="00566C3D"/>
    <w:rsid w:val="005701FF"/>
    <w:rsid w:val="005744C6"/>
    <w:rsid w:val="00586DD0"/>
    <w:rsid w:val="005903D1"/>
    <w:rsid w:val="00590DE7"/>
    <w:rsid w:val="00591E35"/>
    <w:rsid w:val="0059350C"/>
    <w:rsid w:val="00593B26"/>
    <w:rsid w:val="005958D4"/>
    <w:rsid w:val="005A6500"/>
    <w:rsid w:val="005A765B"/>
    <w:rsid w:val="005B6963"/>
    <w:rsid w:val="00617451"/>
    <w:rsid w:val="0062525E"/>
    <w:rsid w:val="00645755"/>
    <w:rsid w:val="00646972"/>
    <w:rsid w:val="00653951"/>
    <w:rsid w:val="006552C1"/>
    <w:rsid w:val="00656BD5"/>
    <w:rsid w:val="0067209A"/>
    <w:rsid w:val="00672333"/>
    <w:rsid w:val="006745C6"/>
    <w:rsid w:val="006A3260"/>
    <w:rsid w:val="006B3415"/>
    <w:rsid w:val="006B5019"/>
    <w:rsid w:val="006C2291"/>
    <w:rsid w:val="006E7DE0"/>
    <w:rsid w:val="006F3409"/>
    <w:rsid w:val="006F5234"/>
    <w:rsid w:val="00703D97"/>
    <w:rsid w:val="00733CE4"/>
    <w:rsid w:val="007444DA"/>
    <w:rsid w:val="007459E8"/>
    <w:rsid w:val="007562A0"/>
    <w:rsid w:val="007576B6"/>
    <w:rsid w:val="00767986"/>
    <w:rsid w:val="00782277"/>
    <w:rsid w:val="007838A3"/>
    <w:rsid w:val="007848FE"/>
    <w:rsid w:val="00796398"/>
    <w:rsid w:val="007A2AF6"/>
    <w:rsid w:val="007A72AB"/>
    <w:rsid w:val="007B04AF"/>
    <w:rsid w:val="007B4C93"/>
    <w:rsid w:val="007C0709"/>
    <w:rsid w:val="007C321D"/>
    <w:rsid w:val="007D5F45"/>
    <w:rsid w:val="007E0971"/>
    <w:rsid w:val="007E2B30"/>
    <w:rsid w:val="007F6A01"/>
    <w:rsid w:val="008039F7"/>
    <w:rsid w:val="0081160C"/>
    <w:rsid w:val="00815E1F"/>
    <w:rsid w:val="008363B1"/>
    <w:rsid w:val="008625FB"/>
    <w:rsid w:val="0086371B"/>
    <w:rsid w:val="008801C4"/>
    <w:rsid w:val="0088162C"/>
    <w:rsid w:val="008A4AA7"/>
    <w:rsid w:val="008B01D4"/>
    <w:rsid w:val="008B5B5D"/>
    <w:rsid w:val="008B6BF7"/>
    <w:rsid w:val="008C21E3"/>
    <w:rsid w:val="008C4647"/>
    <w:rsid w:val="008D5A62"/>
    <w:rsid w:val="008D77CB"/>
    <w:rsid w:val="008E0298"/>
    <w:rsid w:val="008E73BC"/>
    <w:rsid w:val="00900D44"/>
    <w:rsid w:val="009050A4"/>
    <w:rsid w:val="00906CEC"/>
    <w:rsid w:val="00914A37"/>
    <w:rsid w:val="009177AF"/>
    <w:rsid w:val="009434BD"/>
    <w:rsid w:val="00953DD3"/>
    <w:rsid w:val="009562AB"/>
    <w:rsid w:val="00960F92"/>
    <w:rsid w:val="009645FB"/>
    <w:rsid w:val="00970BAE"/>
    <w:rsid w:val="00974CEE"/>
    <w:rsid w:val="0097692F"/>
    <w:rsid w:val="009827D7"/>
    <w:rsid w:val="00983279"/>
    <w:rsid w:val="00984EE4"/>
    <w:rsid w:val="009949DF"/>
    <w:rsid w:val="009A4F25"/>
    <w:rsid w:val="009B7BB2"/>
    <w:rsid w:val="009D4DA6"/>
    <w:rsid w:val="009E6319"/>
    <w:rsid w:val="009F0911"/>
    <w:rsid w:val="00A03200"/>
    <w:rsid w:val="00A310C9"/>
    <w:rsid w:val="00A77536"/>
    <w:rsid w:val="00A87503"/>
    <w:rsid w:val="00A93612"/>
    <w:rsid w:val="00AA2447"/>
    <w:rsid w:val="00AB553D"/>
    <w:rsid w:val="00AC0419"/>
    <w:rsid w:val="00AC73BF"/>
    <w:rsid w:val="00AD6EC3"/>
    <w:rsid w:val="00AE01B4"/>
    <w:rsid w:val="00AE4500"/>
    <w:rsid w:val="00AF0EB8"/>
    <w:rsid w:val="00AF6124"/>
    <w:rsid w:val="00B0150B"/>
    <w:rsid w:val="00B10CD1"/>
    <w:rsid w:val="00B64D5B"/>
    <w:rsid w:val="00B8252F"/>
    <w:rsid w:val="00B83D14"/>
    <w:rsid w:val="00B92B14"/>
    <w:rsid w:val="00B95A3E"/>
    <w:rsid w:val="00B972A9"/>
    <w:rsid w:val="00BA3968"/>
    <w:rsid w:val="00BA6D2B"/>
    <w:rsid w:val="00BA7176"/>
    <w:rsid w:val="00BB51C2"/>
    <w:rsid w:val="00BC3385"/>
    <w:rsid w:val="00BD5ED5"/>
    <w:rsid w:val="00BE2253"/>
    <w:rsid w:val="00BF2216"/>
    <w:rsid w:val="00C0084D"/>
    <w:rsid w:val="00C244A1"/>
    <w:rsid w:val="00C33DAA"/>
    <w:rsid w:val="00C44FC4"/>
    <w:rsid w:val="00C46F74"/>
    <w:rsid w:val="00C6386F"/>
    <w:rsid w:val="00C63A8C"/>
    <w:rsid w:val="00C901B9"/>
    <w:rsid w:val="00C9099B"/>
    <w:rsid w:val="00C9378A"/>
    <w:rsid w:val="00CB2A13"/>
    <w:rsid w:val="00CB658E"/>
    <w:rsid w:val="00CC2F13"/>
    <w:rsid w:val="00CD08EE"/>
    <w:rsid w:val="00CE35DF"/>
    <w:rsid w:val="00CF0265"/>
    <w:rsid w:val="00CF6FB6"/>
    <w:rsid w:val="00D02349"/>
    <w:rsid w:val="00D06FD6"/>
    <w:rsid w:val="00D1712A"/>
    <w:rsid w:val="00D3719A"/>
    <w:rsid w:val="00D37FF9"/>
    <w:rsid w:val="00D80162"/>
    <w:rsid w:val="00D94B2F"/>
    <w:rsid w:val="00DA7DD1"/>
    <w:rsid w:val="00DB3192"/>
    <w:rsid w:val="00DB573E"/>
    <w:rsid w:val="00DC047D"/>
    <w:rsid w:val="00DD7F94"/>
    <w:rsid w:val="00DE3CF6"/>
    <w:rsid w:val="00DE5857"/>
    <w:rsid w:val="00E0178D"/>
    <w:rsid w:val="00E05DEC"/>
    <w:rsid w:val="00E23126"/>
    <w:rsid w:val="00E27B3A"/>
    <w:rsid w:val="00E308FC"/>
    <w:rsid w:val="00E369C2"/>
    <w:rsid w:val="00E44835"/>
    <w:rsid w:val="00E461E2"/>
    <w:rsid w:val="00E52AF2"/>
    <w:rsid w:val="00E56341"/>
    <w:rsid w:val="00E66D44"/>
    <w:rsid w:val="00E80F78"/>
    <w:rsid w:val="00E8184A"/>
    <w:rsid w:val="00E8392F"/>
    <w:rsid w:val="00EA7F16"/>
    <w:rsid w:val="00EB538A"/>
    <w:rsid w:val="00ED1951"/>
    <w:rsid w:val="00ED57C6"/>
    <w:rsid w:val="00ED74DB"/>
    <w:rsid w:val="00EE0617"/>
    <w:rsid w:val="00EE2DCA"/>
    <w:rsid w:val="00EF6458"/>
    <w:rsid w:val="00F178C8"/>
    <w:rsid w:val="00F3543C"/>
    <w:rsid w:val="00F52F5C"/>
    <w:rsid w:val="00F75B32"/>
    <w:rsid w:val="00F928F8"/>
    <w:rsid w:val="00F9426E"/>
    <w:rsid w:val="00F9777E"/>
    <w:rsid w:val="00FA1A41"/>
    <w:rsid w:val="00FA50B1"/>
    <w:rsid w:val="00FC3656"/>
    <w:rsid w:val="00FD4520"/>
    <w:rsid w:val="00FD699D"/>
    <w:rsid w:val="00FE2109"/>
    <w:rsid w:val="00FE5D57"/>
    <w:rsid w:val="00FF131D"/>
    <w:rsid w:val="00FF3C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5D46FE67"/>
  <w15:chartTrackingRefBased/>
  <w15:docId w15:val="{40F9B514-2D79-454D-AF9F-D9E684274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7A6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07A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07A66"/>
    <w:pPr>
      <w:pBdr>
        <w:top w:val="none" w:sz="0" w:space="0" w:color="auto"/>
      </w:pBdr>
      <w:spacing w:before="180"/>
      <w:outlineLvl w:val="1"/>
    </w:pPr>
    <w:rPr>
      <w:sz w:val="32"/>
    </w:rPr>
  </w:style>
  <w:style w:type="paragraph" w:styleId="Heading3">
    <w:name w:val="heading 3"/>
    <w:basedOn w:val="Heading2"/>
    <w:next w:val="Normal"/>
    <w:qFormat/>
    <w:rsid w:val="00307A66"/>
    <w:pPr>
      <w:spacing w:before="120"/>
      <w:outlineLvl w:val="2"/>
    </w:pPr>
    <w:rPr>
      <w:sz w:val="28"/>
    </w:rPr>
  </w:style>
  <w:style w:type="paragraph" w:styleId="Heading4">
    <w:name w:val="heading 4"/>
    <w:basedOn w:val="Heading3"/>
    <w:next w:val="Normal"/>
    <w:qFormat/>
    <w:rsid w:val="00307A66"/>
    <w:pPr>
      <w:ind w:left="1418" w:hanging="1418"/>
      <w:outlineLvl w:val="3"/>
    </w:pPr>
    <w:rPr>
      <w:sz w:val="24"/>
    </w:rPr>
  </w:style>
  <w:style w:type="paragraph" w:styleId="Heading5">
    <w:name w:val="heading 5"/>
    <w:basedOn w:val="Heading4"/>
    <w:next w:val="Normal"/>
    <w:qFormat/>
    <w:rsid w:val="00307A66"/>
    <w:pPr>
      <w:ind w:left="1701" w:hanging="1701"/>
      <w:outlineLvl w:val="4"/>
    </w:pPr>
    <w:rPr>
      <w:sz w:val="22"/>
    </w:rPr>
  </w:style>
  <w:style w:type="paragraph" w:styleId="Heading6">
    <w:name w:val="heading 6"/>
    <w:basedOn w:val="H6"/>
    <w:next w:val="Normal"/>
    <w:qFormat/>
    <w:rsid w:val="00307A66"/>
    <w:pPr>
      <w:outlineLvl w:val="5"/>
    </w:pPr>
  </w:style>
  <w:style w:type="paragraph" w:styleId="Heading7">
    <w:name w:val="heading 7"/>
    <w:basedOn w:val="H6"/>
    <w:next w:val="Normal"/>
    <w:qFormat/>
    <w:rsid w:val="00307A66"/>
    <w:pPr>
      <w:outlineLvl w:val="6"/>
    </w:pPr>
  </w:style>
  <w:style w:type="paragraph" w:styleId="Heading8">
    <w:name w:val="heading 8"/>
    <w:basedOn w:val="Heading1"/>
    <w:next w:val="Normal"/>
    <w:qFormat/>
    <w:rsid w:val="00307A66"/>
    <w:pPr>
      <w:ind w:left="0" w:firstLine="0"/>
      <w:outlineLvl w:val="7"/>
    </w:pPr>
  </w:style>
  <w:style w:type="paragraph" w:styleId="Heading9">
    <w:name w:val="heading 9"/>
    <w:basedOn w:val="Heading8"/>
    <w:next w:val="Normal"/>
    <w:qFormat/>
    <w:rsid w:val="00307A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7A66"/>
    <w:pPr>
      <w:spacing w:before="180"/>
      <w:ind w:left="2693" w:hanging="2693"/>
    </w:pPr>
    <w:rPr>
      <w:b/>
    </w:rPr>
  </w:style>
  <w:style w:type="paragraph" w:styleId="TOC1">
    <w:name w:val="toc 1"/>
    <w:semiHidden/>
    <w:rsid w:val="00307A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07A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07A66"/>
    <w:pPr>
      <w:ind w:left="1701" w:hanging="1701"/>
    </w:pPr>
  </w:style>
  <w:style w:type="paragraph" w:styleId="TOC4">
    <w:name w:val="toc 4"/>
    <w:basedOn w:val="TOC3"/>
    <w:semiHidden/>
    <w:rsid w:val="00307A66"/>
    <w:pPr>
      <w:ind w:left="1418" w:hanging="1418"/>
    </w:pPr>
  </w:style>
  <w:style w:type="paragraph" w:styleId="TOC3">
    <w:name w:val="toc 3"/>
    <w:basedOn w:val="TOC2"/>
    <w:semiHidden/>
    <w:rsid w:val="00307A66"/>
    <w:pPr>
      <w:ind w:left="1134" w:hanging="1134"/>
    </w:pPr>
  </w:style>
  <w:style w:type="paragraph" w:styleId="TOC2">
    <w:name w:val="toc 2"/>
    <w:basedOn w:val="TOC1"/>
    <w:semiHidden/>
    <w:rsid w:val="00307A66"/>
    <w:pPr>
      <w:keepNext w:val="0"/>
      <w:spacing w:before="0"/>
      <w:ind w:left="851" w:hanging="851"/>
    </w:pPr>
    <w:rPr>
      <w:sz w:val="20"/>
    </w:rPr>
  </w:style>
  <w:style w:type="paragraph" w:styleId="Index2">
    <w:name w:val="index 2"/>
    <w:basedOn w:val="Index1"/>
    <w:semiHidden/>
    <w:rsid w:val="00307A66"/>
    <w:pPr>
      <w:ind w:left="284"/>
    </w:pPr>
  </w:style>
  <w:style w:type="paragraph" w:styleId="Index1">
    <w:name w:val="index 1"/>
    <w:basedOn w:val="Normal"/>
    <w:semiHidden/>
    <w:rsid w:val="00307A66"/>
    <w:pPr>
      <w:keepLines/>
      <w:spacing w:after="0"/>
    </w:pPr>
  </w:style>
  <w:style w:type="paragraph" w:customStyle="1" w:styleId="ZH">
    <w:name w:val="ZH"/>
    <w:rsid w:val="00307A6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07A66"/>
    <w:pPr>
      <w:outlineLvl w:val="9"/>
    </w:pPr>
  </w:style>
  <w:style w:type="paragraph" w:styleId="ListNumber2">
    <w:name w:val="List Number 2"/>
    <w:basedOn w:val="ListNumber"/>
    <w:semiHidden/>
    <w:rsid w:val="00307A66"/>
    <w:pPr>
      <w:ind w:left="851"/>
    </w:pPr>
  </w:style>
  <w:style w:type="paragraph" w:styleId="Header">
    <w:name w:val="header"/>
    <w:semiHidden/>
    <w:rsid w:val="00307A6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07A66"/>
    <w:rPr>
      <w:b/>
      <w:position w:val="6"/>
      <w:sz w:val="16"/>
    </w:rPr>
  </w:style>
  <w:style w:type="paragraph" w:styleId="FootnoteText">
    <w:name w:val="footnote text"/>
    <w:basedOn w:val="Normal"/>
    <w:semiHidden/>
    <w:rsid w:val="00307A66"/>
    <w:pPr>
      <w:keepLines/>
      <w:spacing w:after="0"/>
      <w:ind w:left="454" w:hanging="454"/>
    </w:pPr>
    <w:rPr>
      <w:sz w:val="16"/>
    </w:rPr>
  </w:style>
  <w:style w:type="paragraph" w:customStyle="1" w:styleId="TAH">
    <w:name w:val="TAH"/>
    <w:basedOn w:val="TAC"/>
    <w:link w:val="TAHChar"/>
    <w:rsid w:val="00307A66"/>
    <w:rPr>
      <w:b/>
    </w:rPr>
  </w:style>
  <w:style w:type="paragraph" w:customStyle="1" w:styleId="TAC">
    <w:name w:val="TAC"/>
    <w:basedOn w:val="TAL"/>
    <w:link w:val="TACChar"/>
    <w:rsid w:val="00307A66"/>
    <w:pPr>
      <w:jc w:val="center"/>
    </w:pPr>
  </w:style>
  <w:style w:type="paragraph" w:customStyle="1" w:styleId="TF">
    <w:name w:val="TF"/>
    <w:basedOn w:val="TH"/>
    <w:rsid w:val="00307A66"/>
    <w:pPr>
      <w:keepNext w:val="0"/>
      <w:spacing w:before="0" w:after="240"/>
    </w:pPr>
  </w:style>
  <w:style w:type="paragraph" w:customStyle="1" w:styleId="NO">
    <w:name w:val="NO"/>
    <w:basedOn w:val="Normal"/>
    <w:rsid w:val="00307A66"/>
    <w:pPr>
      <w:keepLines/>
      <w:ind w:left="1135" w:hanging="851"/>
    </w:pPr>
  </w:style>
  <w:style w:type="paragraph" w:styleId="TOC9">
    <w:name w:val="toc 9"/>
    <w:basedOn w:val="TOC8"/>
    <w:semiHidden/>
    <w:rsid w:val="00307A66"/>
    <w:pPr>
      <w:ind w:left="1418" w:hanging="1418"/>
    </w:pPr>
  </w:style>
  <w:style w:type="paragraph" w:customStyle="1" w:styleId="EX">
    <w:name w:val="EX"/>
    <w:basedOn w:val="Normal"/>
    <w:rsid w:val="00307A66"/>
    <w:pPr>
      <w:keepLines/>
      <w:ind w:left="1702" w:hanging="1418"/>
    </w:pPr>
  </w:style>
  <w:style w:type="paragraph" w:customStyle="1" w:styleId="FP">
    <w:name w:val="FP"/>
    <w:basedOn w:val="Normal"/>
    <w:rsid w:val="00307A66"/>
    <w:pPr>
      <w:spacing w:after="0"/>
    </w:pPr>
  </w:style>
  <w:style w:type="paragraph" w:customStyle="1" w:styleId="LD">
    <w:name w:val="LD"/>
    <w:rsid w:val="00307A6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07A66"/>
    <w:pPr>
      <w:spacing w:after="0"/>
    </w:pPr>
  </w:style>
  <w:style w:type="paragraph" w:customStyle="1" w:styleId="EW">
    <w:name w:val="EW"/>
    <w:basedOn w:val="EX"/>
    <w:rsid w:val="00307A66"/>
    <w:pPr>
      <w:spacing w:after="0"/>
    </w:pPr>
  </w:style>
  <w:style w:type="paragraph" w:styleId="TOC6">
    <w:name w:val="toc 6"/>
    <w:basedOn w:val="TOC5"/>
    <w:next w:val="Normal"/>
    <w:semiHidden/>
    <w:rsid w:val="00307A66"/>
    <w:pPr>
      <w:ind w:left="1985" w:hanging="1985"/>
    </w:pPr>
  </w:style>
  <w:style w:type="paragraph" w:styleId="TOC7">
    <w:name w:val="toc 7"/>
    <w:basedOn w:val="TOC6"/>
    <w:next w:val="Normal"/>
    <w:semiHidden/>
    <w:rsid w:val="00307A66"/>
    <w:pPr>
      <w:ind w:left="2268" w:hanging="2268"/>
    </w:pPr>
  </w:style>
  <w:style w:type="paragraph" w:styleId="ListBullet2">
    <w:name w:val="List Bullet 2"/>
    <w:basedOn w:val="ListBullet"/>
    <w:semiHidden/>
    <w:rsid w:val="00307A66"/>
    <w:pPr>
      <w:ind w:left="851"/>
    </w:pPr>
  </w:style>
  <w:style w:type="paragraph" w:styleId="ListBullet3">
    <w:name w:val="List Bullet 3"/>
    <w:basedOn w:val="ListBullet2"/>
    <w:semiHidden/>
    <w:rsid w:val="00307A66"/>
    <w:pPr>
      <w:ind w:left="1135"/>
    </w:pPr>
  </w:style>
  <w:style w:type="paragraph" w:styleId="ListNumber">
    <w:name w:val="List Number"/>
    <w:basedOn w:val="List"/>
    <w:semiHidden/>
    <w:rsid w:val="00307A66"/>
  </w:style>
  <w:style w:type="paragraph" w:customStyle="1" w:styleId="EQ">
    <w:name w:val="EQ"/>
    <w:basedOn w:val="Normal"/>
    <w:next w:val="Normal"/>
    <w:rsid w:val="00307A66"/>
    <w:pPr>
      <w:keepLines/>
      <w:tabs>
        <w:tab w:val="center" w:pos="4536"/>
        <w:tab w:val="right" w:pos="9072"/>
      </w:tabs>
    </w:pPr>
    <w:rPr>
      <w:noProof/>
    </w:rPr>
  </w:style>
  <w:style w:type="paragraph" w:customStyle="1" w:styleId="TH">
    <w:name w:val="TH"/>
    <w:basedOn w:val="Normal"/>
    <w:rsid w:val="00307A66"/>
    <w:pPr>
      <w:keepNext/>
      <w:keepLines/>
      <w:spacing w:before="60"/>
      <w:jc w:val="center"/>
    </w:pPr>
    <w:rPr>
      <w:rFonts w:ascii="Arial" w:hAnsi="Arial"/>
      <w:b/>
    </w:rPr>
  </w:style>
  <w:style w:type="paragraph" w:customStyle="1" w:styleId="NF">
    <w:name w:val="NF"/>
    <w:basedOn w:val="NO"/>
    <w:rsid w:val="00307A66"/>
    <w:pPr>
      <w:keepNext/>
      <w:spacing w:after="0"/>
    </w:pPr>
    <w:rPr>
      <w:rFonts w:ascii="Arial" w:hAnsi="Arial"/>
      <w:sz w:val="18"/>
    </w:rPr>
  </w:style>
  <w:style w:type="paragraph" w:customStyle="1" w:styleId="PL">
    <w:name w:val="PL"/>
    <w:rsid w:val="00307A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7A66"/>
    <w:pPr>
      <w:jc w:val="right"/>
    </w:pPr>
  </w:style>
  <w:style w:type="paragraph" w:customStyle="1" w:styleId="H6">
    <w:name w:val="H6"/>
    <w:basedOn w:val="Heading5"/>
    <w:next w:val="Normal"/>
    <w:rsid w:val="00307A66"/>
    <w:pPr>
      <w:ind w:left="1985" w:hanging="1985"/>
      <w:outlineLvl w:val="9"/>
    </w:pPr>
    <w:rPr>
      <w:sz w:val="20"/>
    </w:rPr>
  </w:style>
  <w:style w:type="paragraph" w:customStyle="1" w:styleId="TAN">
    <w:name w:val="TAN"/>
    <w:basedOn w:val="TAL"/>
    <w:rsid w:val="00307A66"/>
    <w:pPr>
      <w:ind w:left="851" w:hanging="851"/>
    </w:pPr>
  </w:style>
  <w:style w:type="paragraph" w:customStyle="1" w:styleId="TAL">
    <w:name w:val="TAL"/>
    <w:basedOn w:val="Normal"/>
    <w:link w:val="TALChar"/>
    <w:rsid w:val="00307A66"/>
    <w:pPr>
      <w:keepNext/>
      <w:keepLines/>
      <w:spacing w:after="0"/>
    </w:pPr>
    <w:rPr>
      <w:rFonts w:ascii="Arial" w:hAnsi="Arial"/>
      <w:sz w:val="18"/>
    </w:rPr>
  </w:style>
  <w:style w:type="paragraph" w:customStyle="1" w:styleId="ZA">
    <w:name w:val="ZA"/>
    <w:rsid w:val="00307A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7A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7A6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07A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7A66"/>
    <w:pPr>
      <w:framePr w:wrap="notBeside" w:y="16161"/>
    </w:pPr>
  </w:style>
  <w:style w:type="character" w:customStyle="1" w:styleId="ZGSM">
    <w:name w:val="ZGSM"/>
    <w:rsid w:val="00307A66"/>
  </w:style>
  <w:style w:type="paragraph" w:styleId="List2">
    <w:name w:val="List 2"/>
    <w:basedOn w:val="List"/>
    <w:semiHidden/>
    <w:rsid w:val="00307A66"/>
    <w:pPr>
      <w:ind w:left="851"/>
    </w:pPr>
  </w:style>
  <w:style w:type="paragraph" w:customStyle="1" w:styleId="ZG">
    <w:name w:val="ZG"/>
    <w:rsid w:val="00307A6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07A66"/>
    <w:pPr>
      <w:ind w:left="1135"/>
    </w:pPr>
  </w:style>
  <w:style w:type="paragraph" w:styleId="List4">
    <w:name w:val="List 4"/>
    <w:basedOn w:val="List3"/>
    <w:semiHidden/>
    <w:rsid w:val="00307A66"/>
    <w:pPr>
      <w:ind w:left="1418"/>
    </w:pPr>
  </w:style>
  <w:style w:type="paragraph" w:styleId="List5">
    <w:name w:val="List 5"/>
    <w:basedOn w:val="List4"/>
    <w:semiHidden/>
    <w:rsid w:val="00307A66"/>
    <w:pPr>
      <w:ind w:left="1702"/>
    </w:pPr>
  </w:style>
  <w:style w:type="paragraph" w:customStyle="1" w:styleId="EditorsNote">
    <w:name w:val="Editor's Note"/>
    <w:aliases w:val="EN"/>
    <w:basedOn w:val="NO"/>
    <w:link w:val="EditorsNoteCharChar"/>
    <w:rsid w:val="00307A66"/>
    <w:rPr>
      <w:color w:val="FF0000"/>
    </w:rPr>
  </w:style>
  <w:style w:type="paragraph" w:styleId="List">
    <w:name w:val="List"/>
    <w:basedOn w:val="Normal"/>
    <w:semiHidden/>
    <w:rsid w:val="00307A66"/>
    <w:pPr>
      <w:ind w:left="568" w:hanging="284"/>
    </w:pPr>
  </w:style>
  <w:style w:type="paragraph" w:styleId="ListBullet">
    <w:name w:val="List Bullet"/>
    <w:basedOn w:val="List"/>
    <w:semiHidden/>
    <w:rsid w:val="00307A66"/>
  </w:style>
  <w:style w:type="paragraph" w:styleId="ListBullet4">
    <w:name w:val="List Bullet 4"/>
    <w:basedOn w:val="ListBullet3"/>
    <w:semiHidden/>
    <w:rsid w:val="00307A66"/>
    <w:pPr>
      <w:ind w:left="1418"/>
    </w:pPr>
  </w:style>
  <w:style w:type="paragraph" w:styleId="ListBullet5">
    <w:name w:val="List Bullet 5"/>
    <w:basedOn w:val="ListBullet4"/>
    <w:semiHidden/>
    <w:rsid w:val="00307A66"/>
    <w:pPr>
      <w:ind w:left="1702"/>
    </w:pPr>
  </w:style>
  <w:style w:type="paragraph" w:customStyle="1" w:styleId="B1">
    <w:name w:val="B1"/>
    <w:basedOn w:val="List"/>
    <w:link w:val="B1Char"/>
    <w:qFormat/>
    <w:rsid w:val="00307A66"/>
  </w:style>
  <w:style w:type="paragraph" w:customStyle="1" w:styleId="B2">
    <w:name w:val="B2"/>
    <w:basedOn w:val="List2"/>
    <w:link w:val="B2Char"/>
    <w:rsid w:val="00307A66"/>
  </w:style>
  <w:style w:type="paragraph" w:customStyle="1" w:styleId="B3">
    <w:name w:val="B3"/>
    <w:basedOn w:val="List3"/>
    <w:rsid w:val="00307A66"/>
  </w:style>
  <w:style w:type="paragraph" w:customStyle="1" w:styleId="B4">
    <w:name w:val="B4"/>
    <w:basedOn w:val="List4"/>
    <w:rsid w:val="00307A66"/>
  </w:style>
  <w:style w:type="paragraph" w:customStyle="1" w:styleId="B5">
    <w:name w:val="B5"/>
    <w:basedOn w:val="List5"/>
    <w:rsid w:val="00307A66"/>
  </w:style>
  <w:style w:type="paragraph" w:styleId="Footer">
    <w:name w:val="footer"/>
    <w:basedOn w:val="Header"/>
    <w:semiHidden/>
    <w:rsid w:val="00307A66"/>
    <w:pPr>
      <w:jc w:val="center"/>
    </w:pPr>
    <w:rPr>
      <w:i/>
    </w:rPr>
  </w:style>
  <w:style w:type="paragraph" w:customStyle="1" w:styleId="ZTD">
    <w:name w:val="ZTD"/>
    <w:basedOn w:val="ZB"/>
    <w:rsid w:val="00307A66"/>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EditorsNoteChar">
    <w:name w:val="Editor's Note Char"/>
    <w:rsid w:val="005958D4"/>
    <w:rPr>
      <w:color w:val="FF0000"/>
      <w:lang w:eastAsia="ja-JP"/>
    </w:rPr>
  </w:style>
  <w:style w:type="paragraph" w:styleId="ListParagraph">
    <w:name w:val="List Paragraph"/>
    <w:basedOn w:val="Normal"/>
    <w:uiPriority w:val="34"/>
    <w:qFormat/>
    <w:rsid w:val="00FA1A41"/>
    <w:pPr>
      <w:ind w:left="720"/>
      <w:contextualSpacing/>
    </w:pPr>
  </w:style>
  <w:style w:type="character" w:customStyle="1" w:styleId="TALChar">
    <w:name w:val="TAL Char"/>
    <w:link w:val="TAL"/>
    <w:rsid w:val="003A73DB"/>
    <w:rPr>
      <w:rFonts w:ascii="Arial" w:hAnsi="Arial"/>
      <w:sz w:val="18"/>
    </w:rPr>
  </w:style>
  <w:style w:type="character" w:customStyle="1" w:styleId="TAHChar">
    <w:name w:val="TAH Char"/>
    <w:link w:val="TAH"/>
    <w:rsid w:val="003A73DB"/>
    <w:rPr>
      <w:rFonts w:ascii="Arial" w:hAnsi="Arial"/>
      <w:b/>
      <w:sz w:val="18"/>
    </w:rPr>
  </w:style>
  <w:style w:type="table" w:styleId="TableGrid">
    <w:name w:val="Table Grid"/>
    <w:basedOn w:val="TableNormal"/>
    <w:uiPriority w:val="39"/>
    <w:rsid w:val="003A73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0D2958"/>
    <w:rPr>
      <w:color w:val="000000"/>
      <w:lang w:eastAsia="ja-JP"/>
    </w:rPr>
  </w:style>
  <w:style w:type="character" w:customStyle="1" w:styleId="B1Zchn">
    <w:name w:val="B1 Zchn"/>
    <w:rsid w:val="003F02A8"/>
    <w:rPr>
      <w:rFonts w:ascii="Times New Roman" w:eastAsia="Times New Roman" w:hAnsi="Times New Roman" w:cs="Times New Roman"/>
      <w:sz w:val="20"/>
      <w:szCs w:val="20"/>
      <w:lang w:eastAsia="ja-JP"/>
    </w:rPr>
  </w:style>
  <w:style w:type="character" w:customStyle="1" w:styleId="TACChar">
    <w:name w:val="TAC Char"/>
    <w:link w:val="TAC"/>
    <w:rsid w:val="00590DE7"/>
    <w:rPr>
      <w:rFonts w:ascii="Arial" w:hAnsi="Arial"/>
      <w:sz w:val="18"/>
    </w:rPr>
  </w:style>
  <w:style w:type="character" w:styleId="Hyperlink">
    <w:name w:val="Hyperlink"/>
    <w:uiPriority w:val="99"/>
    <w:unhideWhenUsed/>
    <w:rsid w:val="007C321D"/>
    <w:rPr>
      <w:rFonts w:ascii="Nokia Pure Text Light" w:hAnsi="Nokia Pure Text Light"/>
      <w:color w:val="124191"/>
      <w:u w:val="single"/>
    </w:rPr>
  </w:style>
  <w:style w:type="character" w:styleId="FollowedHyperlink">
    <w:name w:val="FollowedHyperlink"/>
    <w:basedOn w:val="DefaultParagraphFont"/>
    <w:uiPriority w:val="99"/>
    <w:semiHidden/>
    <w:unhideWhenUsed/>
    <w:rsid w:val="007C321D"/>
    <w:rPr>
      <w:color w:val="954F72" w:themeColor="followedHyperlink"/>
      <w:u w:val="single"/>
    </w:rPr>
  </w:style>
  <w:style w:type="character" w:styleId="UnresolvedMention">
    <w:name w:val="Unresolved Mention"/>
    <w:basedOn w:val="DefaultParagraphFont"/>
    <w:uiPriority w:val="99"/>
    <w:semiHidden/>
    <w:unhideWhenUsed/>
    <w:rsid w:val="005070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840898191">
          <w:marLeft w:val="1800"/>
          <w:marRight w:val="0"/>
          <w:marTop w:val="100"/>
          <w:marBottom w:val="0"/>
          <w:divBdr>
            <w:top w:val="none" w:sz="0" w:space="0" w:color="auto"/>
            <w:left w:val="none" w:sz="0" w:space="0" w:color="auto"/>
            <w:bottom w:val="none" w:sz="0" w:space="0" w:color="auto"/>
            <w:right w:val="none" w:sz="0" w:space="0" w:color="auto"/>
          </w:divBdr>
        </w:div>
        <w:div w:id="1436974278">
          <w:marLeft w:val="1800"/>
          <w:marRight w:val="0"/>
          <w:marTop w:val="100"/>
          <w:marBottom w:val="0"/>
          <w:divBdr>
            <w:top w:val="none" w:sz="0" w:space="0" w:color="auto"/>
            <w:left w:val="none" w:sz="0" w:space="0" w:color="auto"/>
            <w:bottom w:val="none" w:sz="0" w:space="0" w:color="auto"/>
            <w:right w:val="none" w:sz="0" w:space="0" w:color="auto"/>
          </w:divBdr>
        </w:div>
      </w:divsChild>
    </w:div>
    <w:div w:id="238714569">
      <w:bodyDiv w:val="1"/>
      <w:marLeft w:val="0"/>
      <w:marRight w:val="0"/>
      <w:marTop w:val="0"/>
      <w:marBottom w:val="0"/>
      <w:divBdr>
        <w:top w:val="none" w:sz="0" w:space="0" w:color="auto"/>
        <w:left w:val="none" w:sz="0" w:space="0" w:color="auto"/>
        <w:bottom w:val="none" w:sz="0" w:space="0" w:color="auto"/>
        <w:right w:val="none" w:sz="0" w:space="0" w:color="auto"/>
      </w:divBdr>
    </w:div>
    <w:div w:id="266737400">
      <w:bodyDiv w:val="1"/>
      <w:marLeft w:val="0"/>
      <w:marRight w:val="0"/>
      <w:marTop w:val="0"/>
      <w:marBottom w:val="0"/>
      <w:divBdr>
        <w:top w:val="none" w:sz="0" w:space="0" w:color="auto"/>
        <w:left w:val="none" w:sz="0" w:space="0" w:color="auto"/>
        <w:bottom w:val="none" w:sz="0" w:space="0" w:color="auto"/>
        <w:right w:val="none" w:sz="0" w:space="0" w:color="auto"/>
      </w:divBdr>
    </w:div>
    <w:div w:id="421070390">
      <w:bodyDiv w:val="1"/>
      <w:marLeft w:val="0"/>
      <w:marRight w:val="0"/>
      <w:marTop w:val="0"/>
      <w:marBottom w:val="0"/>
      <w:divBdr>
        <w:top w:val="none" w:sz="0" w:space="0" w:color="auto"/>
        <w:left w:val="none" w:sz="0" w:space="0" w:color="auto"/>
        <w:bottom w:val="none" w:sz="0" w:space="0" w:color="auto"/>
        <w:right w:val="none" w:sz="0" w:space="0" w:color="auto"/>
      </w:divBdr>
    </w:div>
    <w:div w:id="453868715">
      <w:bodyDiv w:val="1"/>
      <w:marLeft w:val="0"/>
      <w:marRight w:val="0"/>
      <w:marTop w:val="0"/>
      <w:marBottom w:val="0"/>
      <w:divBdr>
        <w:top w:val="none" w:sz="0" w:space="0" w:color="auto"/>
        <w:left w:val="none" w:sz="0" w:space="0" w:color="auto"/>
        <w:bottom w:val="none" w:sz="0" w:space="0" w:color="auto"/>
        <w:right w:val="none" w:sz="0" w:space="0" w:color="auto"/>
      </w:divBdr>
    </w:div>
    <w:div w:id="1033380954">
      <w:bodyDiv w:val="1"/>
      <w:marLeft w:val="0"/>
      <w:marRight w:val="0"/>
      <w:marTop w:val="0"/>
      <w:marBottom w:val="0"/>
      <w:divBdr>
        <w:top w:val="none" w:sz="0" w:space="0" w:color="auto"/>
        <w:left w:val="none" w:sz="0" w:space="0" w:color="auto"/>
        <w:bottom w:val="none" w:sz="0" w:space="0" w:color="auto"/>
        <w:right w:val="none" w:sz="0" w:space="0" w:color="auto"/>
      </w:divBdr>
    </w:div>
    <w:div w:id="1405302905">
      <w:bodyDiv w:val="1"/>
      <w:marLeft w:val="0"/>
      <w:marRight w:val="0"/>
      <w:marTop w:val="0"/>
      <w:marBottom w:val="0"/>
      <w:divBdr>
        <w:top w:val="none" w:sz="0" w:space="0" w:color="auto"/>
        <w:left w:val="none" w:sz="0" w:space="0" w:color="auto"/>
        <w:bottom w:val="none" w:sz="0" w:space="0" w:color="auto"/>
        <w:right w:val="none" w:sz="0" w:space="0" w:color="auto"/>
      </w:divBdr>
    </w:div>
    <w:div w:id="1563519555">
      <w:bodyDiv w:val="1"/>
      <w:marLeft w:val="0"/>
      <w:marRight w:val="0"/>
      <w:marTop w:val="0"/>
      <w:marBottom w:val="0"/>
      <w:divBdr>
        <w:top w:val="none" w:sz="0" w:space="0" w:color="auto"/>
        <w:left w:val="none" w:sz="0" w:space="0" w:color="auto"/>
        <w:bottom w:val="none" w:sz="0" w:space="0" w:color="auto"/>
        <w:right w:val="none" w:sz="0" w:space="0" w:color="auto"/>
      </w:divBdr>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31_Tenerife/Docs/S2-1901970.zip" TargetMode="External"/><Relationship Id="rId13" Type="http://schemas.openxmlformats.org/officeDocument/2006/relationships/hyperlink" Target="http://www.3gpp.org/ftp/tsg_sa/TSG_SA/TSGS_83/Docs/SP-190147.zip" TargetMode="External"/><Relationship Id="rId18" Type="http://schemas.openxmlformats.org/officeDocument/2006/relationships/hyperlink" Target="ftp://ftp.3gpp.org/tsg_sa/WG2_Arch/TSGS2_131_Tenerife/Docs/S2-1902898.zip" TargetMode="External"/><Relationship Id="rId26" Type="http://schemas.openxmlformats.org/officeDocument/2006/relationships/hyperlink" Target="http://www.3gpp.org/ftp/tsg_sa/WG2_Arch/TSGS2_131_Tenerife/Docs/S2-1901990.zip" TargetMode="External"/><Relationship Id="rId3" Type="http://schemas.openxmlformats.org/officeDocument/2006/relationships/styles" Target="styles.xml"/><Relationship Id="rId21" Type="http://schemas.openxmlformats.org/officeDocument/2006/relationships/hyperlink" Target="http://www.3gpp.org/ftp/tsg_sa/TSG_SA/TSGS_83/Docs/SP-190147.zip" TargetMode="External"/><Relationship Id="rId7" Type="http://schemas.openxmlformats.org/officeDocument/2006/relationships/endnotes" Target="endnotes.xml"/><Relationship Id="rId12" Type="http://schemas.openxmlformats.org/officeDocument/2006/relationships/hyperlink" Target="http://www.3gpp.org/ftp/tsg_sa/WG2_Arch/TSGS2_131_Tenerife/Docs/S2-1902908.zip" TargetMode="External"/><Relationship Id="rId17" Type="http://schemas.openxmlformats.org/officeDocument/2006/relationships/hyperlink" Target="ftp://ftp.3gpp.org/tsg_sa/WG2_Arch/TSGS2_131_Tenerife/Docs/S2-1902898.zip" TargetMode="External"/><Relationship Id="rId25" Type="http://schemas.openxmlformats.org/officeDocument/2006/relationships/hyperlink" Target="http://www.3gpp.org/ftp/tsg_sa/WG2_Arch/TSGS2_131_Tenerife/Docs/S2-1902869.zip" TargetMode="External"/><Relationship Id="rId2" Type="http://schemas.openxmlformats.org/officeDocument/2006/relationships/numbering" Target="numbering.xml"/><Relationship Id="rId16" Type="http://schemas.openxmlformats.org/officeDocument/2006/relationships/hyperlink" Target="http://www.3gpp.org/ftp/tsg_sa/WG2_Arch/TSGS2_131_Tenerife/Docs/S2-1901970.zip" TargetMode="External"/><Relationship Id="rId20" Type="http://schemas.openxmlformats.org/officeDocument/2006/relationships/hyperlink" Target="http://www.3gpp.org/ftp/tsg_sa/WG2_Arch/TSGS2_131_Tenerife/Docs/S2-1902869.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WG2_Arch/TSGS2_131_Tenerife/Docs/S2-1902869.zip" TargetMode="External"/><Relationship Id="rId24" Type="http://schemas.openxmlformats.org/officeDocument/2006/relationships/hyperlink" Target="http://www.3gpp.org/ftp/tsg_sa/WG2_Arch/TSGS2_131_Tenerife/Docs/S2-1902053.zip" TargetMode="External"/><Relationship Id="rId5" Type="http://schemas.openxmlformats.org/officeDocument/2006/relationships/webSettings" Target="webSettings.xml"/><Relationship Id="rId15" Type="http://schemas.openxmlformats.org/officeDocument/2006/relationships/hyperlink" Target="ftp://ftp.3gpp.org/tsg_sa/WG2_Arch/TSGS2_131_Tenerife/Docs/S2-1902898.zip" TargetMode="External"/><Relationship Id="rId23" Type="http://schemas.openxmlformats.org/officeDocument/2006/relationships/hyperlink" Target="http://www.3gpp.org/ftp/tsg_sa/TSG_SA/TSGS_83/Docs/SP-190147.zip" TargetMode="External"/><Relationship Id="rId28"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hyperlink" Target="http://www.3gpp.org/ftp/tsg_sa/WG2_Arch/TSGS2_131_Tenerife/Docs/S2-1901970.zip" TargetMode="External"/><Relationship Id="rId4" Type="http://schemas.openxmlformats.org/officeDocument/2006/relationships/settings" Target="settings.xml"/><Relationship Id="rId9" Type="http://schemas.openxmlformats.org/officeDocument/2006/relationships/hyperlink" Target="http://www.3gpp.org/ftp/tsg_sa/WG2_Arch/TSGS2_131_Tenerife/Docs/S2-1901970.zip" TargetMode="External"/><Relationship Id="rId14" Type="http://schemas.openxmlformats.org/officeDocument/2006/relationships/hyperlink" Target="http://www.3gpp.org/ftp/tsg_sa/WG2_Arch/TSGS2_131_Tenerife/Docs/S2-1902053.zip" TargetMode="External"/><Relationship Id="rId22" Type="http://schemas.openxmlformats.org/officeDocument/2006/relationships/hyperlink" Target="http://www.3gpp.org/ftp/tsg_sa/WG2_Arch/TSGS2_131_Tenerife/Docs/S2-1902908.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53B90-F0EE-43EB-B9DC-7C582D165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2134</Words>
  <Characters>11895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NOKIA</cp:lastModifiedBy>
  <cp:revision>5</cp:revision>
  <cp:lastPrinted>1900-01-01T00:00:00Z</cp:lastPrinted>
  <dcterms:created xsi:type="dcterms:W3CDTF">2019-03-14T09:57:00Z</dcterms:created>
  <dcterms:modified xsi:type="dcterms:W3CDTF">2019-03-14T10:18:00Z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y fmtid="{D5CDD505-2E9C-101B-9397-08002B2CF9AE}" pid="10" name="_NewReviewCycle">
    <vt:lpwstr/>
  </property>
</Properties>
</file>